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C54" w:rsidRDefault="004E43C7">
      <w:pPr>
        <w:spacing w:after="160" w:line="259" w:lineRule="auto"/>
        <w:ind w:left="0" w:firstLine="0"/>
        <w:jc w:val="left"/>
      </w:pPr>
      <w:r>
        <w:rPr>
          <w:rFonts w:ascii="Calibri" w:eastAsia="Calibri" w:hAnsi="Calibri" w:cs="Calibri"/>
          <w:b/>
          <w:i w:val="0"/>
          <w:sz w:val="22"/>
          <w:u w:val="single" w:color="000000"/>
        </w:rPr>
        <w:t xml:space="preserve">DICHIARAZIONE DELL’INESISTENZA DI CAUSE DI </w:t>
      </w:r>
      <w:proofErr w:type="spellStart"/>
      <w:r>
        <w:rPr>
          <w:rFonts w:ascii="Calibri" w:eastAsia="Calibri" w:hAnsi="Calibri" w:cs="Calibri"/>
          <w:b/>
          <w:i w:val="0"/>
          <w:sz w:val="22"/>
          <w:u w:val="single" w:color="000000"/>
        </w:rPr>
        <w:t>INCOMPATIBILITà</w:t>
      </w:r>
      <w:proofErr w:type="spellEnd"/>
      <w:r>
        <w:rPr>
          <w:rFonts w:ascii="Calibri" w:eastAsia="Calibri" w:hAnsi="Calibri" w:cs="Calibri"/>
          <w:b/>
          <w:i w:val="0"/>
          <w:sz w:val="22"/>
          <w:u w:val="single" w:color="000000"/>
        </w:rPr>
        <w:t xml:space="preserve"> E INSUSSISTENZA DI CONFLITTO DI</w:t>
      </w:r>
      <w:r>
        <w:rPr>
          <w:rFonts w:ascii="Calibri" w:eastAsia="Calibri" w:hAnsi="Calibri" w:cs="Calibri"/>
          <w:b/>
          <w:i w:val="0"/>
          <w:sz w:val="22"/>
        </w:rPr>
        <w:t xml:space="preserve"> </w:t>
      </w:r>
      <w:r>
        <w:rPr>
          <w:rFonts w:ascii="Calibri" w:eastAsia="Calibri" w:hAnsi="Calibri" w:cs="Calibri"/>
          <w:b/>
          <w:i w:val="0"/>
          <w:sz w:val="22"/>
          <w:u w:val="single" w:color="000000"/>
        </w:rPr>
        <w:t>INTERESSI PER GARE PUBBLICHE</w:t>
      </w:r>
      <w:r>
        <w:rPr>
          <w:rFonts w:ascii="Calibri" w:eastAsia="Calibri" w:hAnsi="Calibri" w:cs="Calibri"/>
          <w:b/>
          <w:i w:val="0"/>
          <w:sz w:val="22"/>
        </w:rPr>
        <w:t xml:space="preserve"> </w:t>
      </w:r>
    </w:p>
    <w:p w:rsidR="005B0C54" w:rsidRDefault="004E43C7">
      <w:pPr>
        <w:spacing w:after="0" w:line="259" w:lineRule="auto"/>
        <w:ind w:left="0" w:firstLine="0"/>
        <w:jc w:val="left"/>
      </w:pPr>
      <w:r>
        <w:rPr>
          <w:rFonts w:ascii="Calibri" w:eastAsia="Calibri" w:hAnsi="Calibri" w:cs="Calibri"/>
          <w:sz w:val="22"/>
        </w:rPr>
        <w:t xml:space="preserve">(deve essere sottoscritto da tutti coloro che hanno un ruolo nel procedimento e non solo dai membri della Commissione giudicatrice) </w:t>
      </w:r>
    </w:p>
    <w:tbl>
      <w:tblPr>
        <w:tblStyle w:val="TableGrid"/>
        <w:tblW w:w="9627" w:type="dxa"/>
        <w:tblInd w:w="7" w:type="dxa"/>
        <w:tblCellMar>
          <w:top w:w="44" w:type="dxa"/>
          <w:left w:w="108" w:type="dxa"/>
          <w:bottom w:w="0" w:type="dxa"/>
          <w:right w:w="115" w:type="dxa"/>
        </w:tblCellMar>
        <w:tblLook w:val="04A0" w:firstRow="1" w:lastRow="0" w:firstColumn="1" w:lastColumn="0" w:noHBand="0" w:noVBand="1"/>
      </w:tblPr>
      <w:tblGrid>
        <w:gridCol w:w="4813"/>
        <w:gridCol w:w="4814"/>
      </w:tblGrid>
      <w:tr w:rsidR="005B0C54">
        <w:trPr>
          <w:trHeight w:val="461"/>
        </w:trPr>
        <w:tc>
          <w:tcPr>
            <w:tcW w:w="4813" w:type="dxa"/>
            <w:tcBorders>
              <w:top w:val="single" w:sz="4" w:space="0" w:color="000000"/>
              <w:left w:val="single" w:sz="4" w:space="0" w:color="000000"/>
              <w:bottom w:val="single" w:sz="4" w:space="0" w:color="000000"/>
              <w:right w:val="single" w:sz="4" w:space="0" w:color="000000"/>
            </w:tcBorders>
            <w:shd w:val="clear" w:color="auto" w:fill="9CC2E5"/>
          </w:tcPr>
          <w:p w:rsidR="005B0C54" w:rsidRDefault="004E43C7">
            <w:pPr>
              <w:spacing w:after="0" w:line="259" w:lineRule="auto"/>
              <w:ind w:left="0" w:firstLine="0"/>
              <w:jc w:val="left"/>
            </w:pPr>
            <w:r>
              <w:rPr>
                <w:rFonts w:ascii="Calibri" w:eastAsia="Calibri" w:hAnsi="Calibri" w:cs="Calibri"/>
                <w:b/>
                <w:i w:val="0"/>
                <w:sz w:val="22"/>
              </w:rPr>
              <w:t xml:space="preserve">Il sottoscritto </w:t>
            </w:r>
          </w:p>
        </w:tc>
        <w:tc>
          <w:tcPr>
            <w:tcW w:w="4814" w:type="dxa"/>
            <w:tcBorders>
              <w:top w:val="single" w:sz="4" w:space="0" w:color="000000"/>
              <w:left w:val="single" w:sz="4" w:space="0" w:color="000000"/>
              <w:bottom w:val="single" w:sz="4" w:space="0" w:color="000000"/>
              <w:right w:val="single" w:sz="4" w:space="0" w:color="000000"/>
            </w:tcBorders>
            <w:shd w:val="clear" w:color="auto" w:fill="9CC2E5"/>
          </w:tcPr>
          <w:p w:rsidR="005B0C54" w:rsidRDefault="004E43C7">
            <w:pPr>
              <w:spacing w:after="0" w:line="259" w:lineRule="auto"/>
              <w:ind w:left="0" w:firstLine="0"/>
              <w:jc w:val="left"/>
            </w:pPr>
            <w:r>
              <w:rPr>
                <w:rFonts w:ascii="Calibri" w:eastAsia="Calibri" w:hAnsi="Calibri" w:cs="Calibri"/>
                <w:i w:val="0"/>
                <w:sz w:val="22"/>
              </w:rPr>
              <w:t xml:space="preserve"> </w:t>
            </w:r>
          </w:p>
        </w:tc>
      </w:tr>
      <w:tr w:rsidR="005B0C54">
        <w:trPr>
          <w:trHeight w:val="464"/>
        </w:trPr>
        <w:tc>
          <w:tcPr>
            <w:tcW w:w="4813" w:type="dxa"/>
            <w:tcBorders>
              <w:top w:val="single" w:sz="4" w:space="0" w:color="000000"/>
              <w:left w:val="single" w:sz="4" w:space="0" w:color="000000"/>
              <w:bottom w:val="single" w:sz="4" w:space="0" w:color="000000"/>
              <w:right w:val="single" w:sz="4" w:space="0" w:color="000000"/>
            </w:tcBorders>
          </w:tcPr>
          <w:p w:rsidR="005B0C54" w:rsidRDefault="004E43C7">
            <w:pPr>
              <w:spacing w:after="0" w:line="259" w:lineRule="auto"/>
              <w:ind w:left="0" w:firstLine="0"/>
              <w:jc w:val="left"/>
            </w:pPr>
            <w:r>
              <w:rPr>
                <w:rFonts w:ascii="Calibri" w:eastAsia="Calibri" w:hAnsi="Calibri" w:cs="Calibri"/>
                <w:i w:val="0"/>
                <w:sz w:val="22"/>
              </w:rPr>
              <w:t xml:space="preserve">Cognome e nome </w:t>
            </w:r>
          </w:p>
        </w:tc>
        <w:tc>
          <w:tcPr>
            <w:tcW w:w="4814" w:type="dxa"/>
            <w:tcBorders>
              <w:top w:val="single" w:sz="4" w:space="0" w:color="000000"/>
              <w:left w:val="single" w:sz="4" w:space="0" w:color="000000"/>
              <w:bottom w:val="single" w:sz="4" w:space="0" w:color="000000"/>
              <w:right w:val="single" w:sz="4" w:space="0" w:color="000000"/>
            </w:tcBorders>
          </w:tcPr>
          <w:p w:rsidR="005B0C54" w:rsidRDefault="005B0C54">
            <w:pPr>
              <w:spacing w:after="0" w:line="259" w:lineRule="auto"/>
              <w:ind w:left="0" w:firstLine="0"/>
              <w:jc w:val="left"/>
            </w:pPr>
          </w:p>
        </w:tc>
      </w:tr>
      <w:tr w:rsidR="005B0C54">
        <w:trPr>
          <w:trHeight w:val="466"/>
        </w:trPr>
        <w:tc>
          <w:tcPr>
            <w:tcW w:w="4813" w:type="dxa"/>
            <w:tcBorders>
              <w:top w:val="single" w:sz="4" w:space="0" w:color="000000"/>
              <w:left w:val="single" w:sz="4" w:space="0" w:color="000000"/>
              <w:bottom w:val="single" w:sz="4" w:space="0" w:color="000000"/>
              <w:right w:val="single" w:sz="4" w:space="0" w:color="000000"/>
            </w:tcBorders>
            <w:vAlign w:val="center"/>
          </w:tcPr>
          <w:p w:rsidR="005B0C54" w:rsidRDefault="004E43C7">
            <w:pPr>
              <w:spacing w:after="0" w:line="259" w:lineRule="auto"/>
              <w:ind w:left="0" w:firstLine="0"/>
              <w:jc w:val="left"/>
            </w:pPr>
            <w:r>
              <w:rPr>
                <w:rFonts w:ascii="Calibri" w:eastAsia="Calibri" w:hAnsi="Calibri" w:cs="Calibri"/>
                <w:i w:val="0"/>
                <w:sz w:val="22"/>
              </w:rPr>
              <w:t xml:space="preserve">Luogo e data di nascita </w:t>
            </w:r>
          </w:p>
        </w:tc>
        <w:tc>
          <w:tcPr>
            <w:tcW w:w="4814" w:type="dxa"/>
            <w:tcBorders>
              <w:top w:val="single" w:sz="4" w:space="0" w:color="000000"/>
              <w:left w:val="single" w:sz="4" w:space="0" w:color="000000"/>
              <w:bottom w:val="single" w:sz="4" w:space="0" w:color="000000"/>
              <w:right w:val="single" w:sz="4" w:space="0" w:color="000000"/>
            </w:tcBorders>
          </w:tcPr>
          <w:p w:rsidR="005B0C54" w:rsidRDefault="004E43C7">
            <w:pPr>
              <w:spacing w:after="0" w:line="259" w:lineRule="auto"/>
              <w:ind w:left="0" w:firstLine="0"/>
              <w:jc w:val="left"/>
            </w:pPr>
            <w:r>
              <w:rPr>
                <w:rFonts w:ascii="Calibri" w:eastAsia="Calibri" w:hAnsi="Calibri" w:cs="Calibri"/>
                <w:i w:val="0"/>
                <w:sz w:val="22"/>
              </w:rPr>
              <w:t xml:space="preserve"> </w:t>
            </w:r>
          </w:p>
        </w:tc>
      </w:tr>
      <w:tr w:rsidR="005B0C54">
        <w:trPr>
          <w:trHeight w:val="463"/>
        </w:trPr>
        <w:tc>
          <w:tcPr>
            <w:tcW w:w="4813" w:type="dxa"/>
            <w:tcBorders>
              <w:top w:val="single" w:sz="4" w:space="0" w:color="000000"/>
              <w:left w:val="single" w:sz="4" w:space="0" w:color="000000"/>
              <w:bottom w:val="single" w:sz="4" w:space="0" w:color="000000"/>
              <w:right w:val="single" w:sz="4" w:space="0" w:color="000000"/>
            </w:tcBorders>
          </w:tcPr>
          <w:p w:rsidR="005B0C54" w:rsidRDefault="004E43C7">
            <w:pPr>
              <w:spacing w:after="0" w:line="259" w:lineRule="auto"/>
              <w:ind w:left="0" w:firstLine="0"/>
              <w:jc w:val="left"/>
            </w:pPr>
            <w:r>
              <w:rPr>
                <w:rFonts w:ascii="Calibri" w:eastAsia="Calibri" w:hAnsi="Calibri" w:cs="Calibri"/>
                <w:i w:val="0"/>
                <w:sz w:val="22"/>
              </w:rPr>
              <w:t xml:space="preserve">Codice fiscale </w:t>
            </w:r>
          </w:p>
        </w:tc>
        <w:tc>
          <w:tcPr>
            <w:tcW w:w="4814" w:type="dxa"/>
            <w:tcBorders>
              <w:top w:val="single" w:sz="4" w:space="0" w:color="000000"/>
              <w:left w:val="single" w:sz="4" w:space="0" w:color="000000"/>
              <w:bottom w:val="single" w:sz="4" w:space="0" w:color="000000"/>
              <w:right w:val="single" w:sz="4" w:space="0" w:color="000000"/>
            </w:tcBorders>
          </w:tcPr>
          <w:p w:rsidR="005B0C54" w:rsidRDefault="004E43C7">
            <w:pPr>
              <w:spacing w:after="0" w:line="259" w:lineRule="auto"/>
              <w:ind w:left="0" w:firstLine="0"/>
              <w:jc w:val="left"/>
            </w:pPr>
            <w:r>
              <w:rPr>
                <w:rFonts w:ascii="Calibri" w:eastAsia="Calibri" w:hAnsi="Calibri" w:cs="Calibri"/>
                <w:i w:val="0"/>
                <w:sz w:val="22"/>
              </w:rPr>
              <w:t xml:space="preserve"> </w:t>
            </w:r>
          </w:p>
        </w:tc>
      </w:tr>
    </w:tbl>
    <w:p w:rsidR="005B0C54" w:rsidRDefault="004E43C7">
      <w:pPr>
        <w:spacing w:after="0" w:line="259" w:lineRule="auto"/>
        <w:ind w:left="0" w:firstLine="0"/>
        <w:jc w:val="left"/>
      </w:pPr>
      <w:r>
        <w:rPr>
          <w:rFonts w:ascii="Calibri" w:eastAsia="Calibri" w:hAnsi="Calibri" w:cs="Calibri"/>
          <w:i w:val="0"/>
          <w:sz w:val="22"/>
        </w:rPr>
        <w:t xml:space="preserve"> </w:t>
      </w:r>
    </w:p>
    <w:tbl>
      <w:tblPr>
        <w:tblStyle w:val="TableGrid"/>
        <w:tblW w:w="9627" w:type="dxa"/>
        <w:tblInd w:w="7" w:type="dxa"/>
        <w:tblCellMar>
          <w:top w:w="45" w:type="dxa"/>
          <w:left w:w="108" w:type="dxa"/>
          <w:bottom w:w="0" w:type="dxa"/>
          <w:right w:w="115" w:type="dxa"/>
        </w:tblCellMar>
        <w:tblLook w:val="04A0" w:firstRow="1" w:lastRow="0" w:firstColumn="1" w:lastColumn="0" w:noHBand="0" w:noVBand="1"/>
      </w:tblPr>
      <w:tblGrid>
        <w:gridCol w:w="4813"/>
        <w:gridCol w:w="4814"/>
      </w:tblGrid>
      <w:tr w:rsidR="005B0C54">
        <w:trPr>
          <w:trHeight w:val="517"/>
        </w:trPr>
        <w:tc>
          <w:tcPr>
            <w:tcW w:w="4813" w:type="dxa"/>
            <w:tcBorders>
              <w:top w:val="single" w:sz="4" w:space="0" w:color="000000"/>
              <w:left w:val="single" w:sz="4" w:space="0" w:color="000000"/>
              <w:bottom w:val="single" w:sz="4" w:space="0" w:color="000000"/>
              <w:right w:val="single" w:sz="4" w:space="0" w:color="000000"/>
            </w:tcBorders>
            <w:shd w:val="clear" w:color="auto" w:fill="9CC2E5"/>
            <w:vAlign w:val="center"/>
          </w:tcPr>
          <w:p w:rsidR="005B0C54" w:rsidRDefault="004E43C7">
            <w:pPr>
              <w:spacing w:after="0" w:line="259" w:lineRule="auto"/>
              <w:ind w:left="0" w:firstLine="0"/>
              <w:jc w:val="left"/>
            </w:pPr>
            <w:r>
              <w:rPr>
                <w:rFonts w:ascii="Calibri" w:eastAsia="Calibri" w:hAnsi="Calibri" w:cs="Calibri"/>
                <w:b/>
                <w:i w:val="0"/>
                <w:sz w:val="22"/>
              </w:rPr>
              <w:t xml:space="preserve">Dipendente pubblico </w:t>
            </w:r>
          </w:p>
        </w:tc>
        <w:tc>
          <w:tcPr>
            <w:tcW w:w="4814" w:type="dxa"/>
            <w:tcBorders>
              <w:top w:val="single" w:sz="4" w:space="0" w:color="000000"/>
              <w:left w:val="single" w:sz="4" w:space="0" w:color="000000"/>
              <w:bottom w:val="single" w:sz="4" w:space="0" w:color="000000"/>
              <w:right w:val="single" w:sz="4" w:space="0" w:color="000000"/>
            </w:tcBorders>
            <w:shd w:val="clear" w:color="auto" w:fill="9CC2E5"/>
          </w:tcPr>
          <w:p w:rsidR="005B0C54" w:rsidRDefault="004E43C7">
            <w:pPr>
              <w:spacing w:after="0" w:line="259" w:lineRule="auto"/>
              <w:ind w:left="0" w:firstLine="0"/>
              <w:jc w:val="left"/>
            </w:pPr>
            <w:r>
              <w:rPr>
                <w:rFonts w:ascii="Calibri" w:eastAsia="Calibri" w:hAnsi="Calibri" w:cs="Calibri"/>
                <w:i w:val="0"/>
                <w:sz w:val="22"/>
              </w:rPr>
              <w:t xml:space="preserve"> </w:t>
            </w:r>
          </w:p>
        </w:tc>
      </w:tr>
      <w:tr w:rsidR="005B0C54">
        <w:trPr>
          <w:trHeight w:val="522"/>
        </w:trPr>
        <w:tc>
          <w:tcPr>
            <w:tcW w:w="4813" w:type="dxa"/>
            <w:tcBorders>
              <w:top w:val="single" w:sz="4" w:space="0" w:color="000000"/>
              <w:left w:val="single" w:sz="4" w:space="0" w:color="000000"/>
              <w:bottom w:val="single" w:sz="4" w:space="0" w:color="000000"/>
              <w:right w:val="single" w:sz="4" w:space="0" w:color="000000"/>
            </w:tcBorders>
            <w:vAlign w:val="center"/>
          </w:tcPr>
          <w:p w:rsidR="005B0C54" w:rsidRDefault="004E43C7">
            <w:pPr>
              <w:spacing w:after="0" w:line="259" w:lineRule="auto"/>
              <w:ind w:left="0" w:firstLine="0"/>
              <w:jc w:val="left"/>
            </w:pPr>
            <w:r>
              <w:rPr>
                <w:rFonts w:ascii="Calibri" w:eastAsia="Calibri" w:hAnsi="Calibri" w:cs="Calibri"/>
                <w:i w:val="0"/>
                <w:sz w:val="22"/>
              </w:rPr>
              <w:t xml:space="preserve">Ente </w:t>
            </w:r>
          </w:p>
        </w:tc>
        <w:tc>
          <w:tcPr>
            <w:tcW w:w="4814" w:type="dxa"/>
            <w:tcBorders>
              <w:top w:val="single" w:sz="4" w:space="0" w:color="000000"/>
              <w:left w:val="single" w:sz="4" w:space="0" w:color="000000"/>
              <w:bottom w:val="single" w:sz="4" w:space="0" w:color="000000"/>
              <w:right w:val="single" w:sz="4" w:space="0" w:color="000000"/>
            </w:tcBorders>
          </w:tcPr>
          <w:p w:rsidR="005B0C54" w:rsidRDefault="004E43C7">
            <w:pPr>
              <w:spacing w:after="0" w:line="259" w:lineRule="auto"/>
              <w:ind w:left="0" w:firstLine="0"/>
              <w:jc w:val="left"/>
            </w:pPr>
            <w:r>
              <w:rPr>
                <w:rFonts w:ascii="Calibri" w:eastAsia="Calibri" w:hAnsi="Calibri" w:cs="Calibri"/>
                <w:i w:val="0"/>
                <w:sz w:val="22"/>
              </w:rPr>
              <w:t xml:space="preserve"> </w:t>
            </w:r>
          </w:p>
        </w:tc>
      </w:tr>
      <w:tr w:rsidR="005B0C54">
        <w:trPr>
          <w:trHeight w:val="521"/>
        </w:trPr>
        <w:tc>
          <w:tcPr>
            <w:tcW w:w="4813" w:type="dxa"/>
            <w:tcBorders>
              <w:top w:val="single" w:sz="4" w:space="0" w:color="000000"/>
              <w:left w:val="single" w:sz="4" w:space="0" w:color="000000"/>
              <w:bottom w:val="single" w:sz="4" w:space="0" w:color="000000"/>
              <w:right w:val="single" w:sz="4" w:space="0" w:color="000000"/>
            </w:tcBorders>
            <w:vAlign w:val="center"/>
          </w:tcPr>
          <w:p w:rsidR="005B0C54" w:rsidRDefault="004E43C7">
            <w:pPr>
              <w:spacing w:after="0" w:line="259" w:lineRule="auto"/>
              <w:ind w:left="0" w:firstLine="0"/>
              <w:jc w:val="left"/>
            </w:pPr>
            <w:r>
              <w:rPr>
                <w:rFonts w:ascii="Calibri" w:eastAsia="Calibri" w:hAnsi="Calibri" w:cs="Calibri"/>
                <w:i w:val="0"/>
                <w:sz w:val="22"/>
              </w:rPr>
              <w:t xml:space="preserve">Struttura (servizio, sezione, area) </w:t>
            </w:r>
          </w:p>
        </w:tc>
        <w:tc>
          <w:tcPr>
            <w:tcW w:w="4814" w:type="dxa"/>
            <w:tcBorders>
              <w:top w:val="single" w:sz="4" w:space="0" w:color="000000"/>
              <w:left w:val="single" w:sz="4" w:space="0" w:color="000000"/>
              <w:bottom w:val="single" w:sz="4" w:space="0" w:color="000000"/>
              <w:right w:val="single" w:sz="4" w:space="0" w:color="000000"/>
            </w:tcBorders>
          </w:tcPr>
          <w:p w:rsidR="005B0C54" w:rsidRDefault="004E43C7">
            <w:pPr>
              <w:spacing w:after="0" w:line="259" w:lineRule="auto"/>
              <w:ind w:left="0" w:firstLine="0"/>
              <w:jc w:val="left"/>
            </w:pPr>
            <w:r>
              <w:rPr>
                <w:rFonts w:ascii="Calibri" w:eastAsia="Calibri" w:hAnsi="Calibri" w:cs="Calibri"/>
                <w:i w:val="0"/>
                <w:sz w:val="22"/>
              </w:rPr>
              <w:t xml:space="preserve"> </w:t>
            </w:r>
          </w:p>
        </w:tc>
      </w:tr>
      <w:tr w:rsidR="005B0C54">
        <w:trPr>
          <w:trHeight w:val="518"/>
        </w:trPr>
        <w:tc>
          <w:tcPr>
            <w:tcW w:w="4813" w:type="dxa"/>
            <w:tcBorders>
              <w:top w:val="single" w:sz="4" w:space="0" w:color="000000"/>
              <w:left w:val="single" w:sz="4" w:space="0" w:color="000000"/>
              <w:bottom w:val="single" w:sz="4" w:space="0" w:color="000000"/>
              <w:right w:val="single" w:sz="4" w:space="0" w:color="000000"/>
            </w:tcBorders>
            <w:vAlign w:val="center"/>
          </w:tcPr>
          <w:p w:rsidR="005B0C54" w:rsidRDefault="004E43C7">
            <w:pPr>
              <w:spacing w:after="0" w:line="259" w:lineRule="auto"/>
              <w:ind w:left="0" w:firstLine="0"/>
              <w:jc w:val="left"/>
            </w:pPr>
            <w:r>
              <w:rPr>
                <w:rFonts w:ascii="Calibri" w:eastAsia="Calibri" w:hAnsi="Calibri" w:cs="Calibri"/>
                <w:i w:val="0"/>
                <w:sz w:val="22"/>
              </w:rPr>
              <w:t xml:space="preserve">Ruolo </w:t>
            </w:r>
          </w:p>
        </w:tc>
        <w:tc>
          <w:tcPr>
            <w:tcW w:w="4814" w:type="dxa"/>
            <w:tcBorders>
              <w:top w:val="single" w:sz="4" w:space="0" w:color="000000"/>
              <w:left w:val="single" w:sz="4" w:space="0" w:color="000000"/>
              <w:bottom w:val="single" w:sz="4" w:space="0" w:color="000000"/>
              <w:right w:val="single" w:sz="4" w:space="0" w:color="000000"/>
            </w:tcBorders>
          </w:tcPr>
          <w:p w:rsidR="005B0C54" w:rsidRDefault="004E43C7">
            <w:pPr>
              <w:spacing w:after="0" w:line="259" w:lineRule="auto"/>
              <w:ind w:left="0" w:firstLine="0"/>
              <w:jc w:val="left"/>
            </w:pPr>
            <w:r>
              <w:rPr>
                <w:rFonts w:ascii="Calibri" w:eastAsia="Calibri" w:hAnsi="Calibri" w:cs="Calibri"/>
                <w:i w:val="0"/>
                <w:sz w:val="22"/>
              </w:rPr>
              <w:t xml:space="preserve"> </w:t>
            </w:r>
          </w:p>
        </w:tc>
      </w:tr>
      <w:tr w:rsidR="005B0C54">
        <w:trPr>
          <w:trHeight w:val="547"/>
        </w:trPr>
        <w:tc>
          <w:tcPr>
            <w:tcW w:w="4813" w:type="dxa"/>
            <w:tcBorders>
              <w:top w:val="single" w:sz="4" w:space="0" w:color="000000"/>
              <w:left w:val="single" w:sz="4" w:space="0" w:color="000000"/>
              <w:bottom w:val="single" w:sz="4" w:space="0" w:color="000000"/>
              <w:right w:val="single" w:sz="4" w:space="0" w:color="000000"/>
            </w:tcBorders>
          </w:tcPr>
          <w:p w:rsidR="005B0C54" w:rsidRDefault="004E43C7">
            <w:pPr>
              <w:spacing w:after="0" w:line="259" w:lineRule="auto"/>
              <w:ind w:left="0" w:firstLine="0"/>
              <w:jc w:val="left"/>
            </w:pPr>
            <w:r>
              <w:rPr>
                <w:rFonts w:ascii="Calibri" w:eastAsia="Calibri" w:hAnsi="Calibri" w:cs="Calibri"/>
                <w:i w:val="0"/>
                <w:sz w:val="22"/>
              </w:rPr>
              <w:t xml:space="preserve">(per dipendenti esterni all’Amministrazione) </w:t>
            </w:r>
          </w:p>
          <w:p w:rsidR="005B0C54" w:rsidRDefault="004E43C7">
            <w:pPr>
              <w:spacing w:after="0" w:line="259" w:lineRule="auto"/>
              <w:ind w:left="0" w:firstLine="0"/>
              <w:jc w:val="left"/>
            </w:pPr>
            <w:r>
              <w:rPr>
                <w:rFonts w:ascii="Calibri" w:eastAsia="Calibri" w:hAnsi="Calibri" w:cs="Calibri"/>
                <w:i w:val="0"/>
                <w:sz w:val="22"/>
              </w:rPr>
              <w:t xml:space="preserve">Riferimenti autorizzazione per incarico extra ufficio </w:t>
            </w:r>
          </w:p>
        </w:tc>
        <w:tc>
          <w:tcPr>
            <w:tcW w:w="4814" w:type="dxa"/>
            <w:tcBorders>
              <w:top w:val="single" w:sz="4" w:space="0" w:color="000000"/>
              <w:left w:val="single" w:sz="4" w:space="0" w:color="000000"/>
              <w:bottom w:val="single" w:sz="4" w:space="0" w:color="000000"/>
              <w:right w:val="single" w:sz="4" w:space="0" w:color="000000"/>
            </w:tcBorders>
          </w:tcPr>
          <w:p w:rsidR="005B0C54" w:rsidRDefault="004E43C7">
            <w:pPr>
              <w:spacing w:after="0" w:line="259" w:lineRule="auto"/>
              <w:ind w:left="0" w:firstLine="0"/>
              <w:jc w:val="left"/>
            </w:pPr>
            <w:r>
              <w:rPr>
                <w:rFonts w:ascii="Calibri" w:eastAsia="Calibri" w:hAnsi="Calibri" w:cs="Calibri"/>
                <w:i w:val="0"/>
                <w:sz w:val="22"/>
              </w:rPr>
              <w:t xml:space="preserve"> </w:t>
            </w:r>
          </w:p>
        </w:tc>
      </w:tr>
    </w:tbl>
    <w:p w:rsidR="005B0C54" w:rsidRDefault="004E43C7">
      <w:pPr>
        <w:spacing w:after="0" w:line="259" w:lineRule="auto"/>
        <w:ind w:left="0" w:firstLine="0"/>
        <w:jc w:val="left"/>
      </w:pPr>
      <w:r>
        <w:rPr>
          <w:rFonts w:ascii="Calibri" w:eastAsia="Calibri" w:hAnsi="Calibri" w:cs="Calibri"/>
          <w:i w:val="0"/>
          <w:sz w:val="22"/>
        </w:rPr>
        <w:t xml:space="preserve"> </w:t>
      </w:r>
    </w:p>
    <w:tbl>
      <w:tblPr>
        <w:tblStyle w:val="TableGrid"/>
        <w:tblW w:w="9627" w:type="dxa"/>
        <w:tblInd w:w="7" w:type="dxa"/>
        <w:tblCellMar>
          <w:top w:w="44" w:type="dxa"/>
          <w:left w:w="108" w:type="dxa"/>
          <w:bottom w:w="0" w:type="dxa"/>
          <w:right w:w="115" w:type="dxa"/>
        </w:tblCellMar>
        <w:tblLook w:val="04A0" w:firstRow="1" w:lastRow="0" w:firstColumn="1" w:lastColumn="0" w:noHBand="0" w:noVBand="1"/>
      </w:tblPr>
      <w:tblGrid>
        <w:gridCol w:w="4813"/>
        <w:gridCol w:w="4814"/>
      </w:tblGrid>
      <w:tr w:rsidR="005B0C54">
        <w:trPr>
          <w:trHeight w:val="519"/>
        </w:trPr>
        <w:tc>
          <w:tcPr>
            <w:tcW w:w="4813" w:type="dxa"/>
            <w:tcBorders>
              <w:top w:val="single" w:sz="4" w:space="0" w:color="000000"/>
              <w:left w:val="single" w:sz="4" w:space="0" w:color="000000"/>
              <w:bottom w:val="single" w:sz="4" w:space="0" w:color="000000"/>
              <w:right w:val="single" w:sz="4" w:space="0" w:color="000000"/>
            </w:tcBorders>
            <w:shd w:val="clear" w:color="auto" w:fill="9CC2E5"/>
            <w:vAlign w:val="center"/>
          </w:tcPr>
          <w:p w:rsidR="005B0C54" w:rsidRDefault="004E43C7">
            <w:pPr>
              <w:spacing w:after="0" w:line="259" w:lineRule="auto"/>
              <w:ind w:left="0" w:firstLine="0"/>
              <w:jc w:val="left"/>
            </w:pPr>
            <w:r>
              <w:rPr>
                <w:rFonts w:ascii="Calibri" w:eastAsia="Calibri" w:hAnsi="Calibri" w:cs="Calibri"/>
                <w:b/>
                <w:i w:val="0"/>
                <w:sz w:val="22"/>
              </w:rPr>
              <w:t xml:space="preserve">Libero professionista </w:t>
            </w:r>
          </w:p>
        </w:tc>
        <w:tc>
          <w:tcPr>
            <w:tcW w:w="4814" w:type="dxa"/>
            <w:tcBorders>
              <w:top w:val="single" w:sz="4" w:space="0" w:color="000000"/>
              <w:left w:val="single" w:sz="4" w:space="0" w:color="000000"/>
              <w:bottom w:val="single" w:sz="4" w:space="0" w:color="000000"/>
              <w:right w:val="single" w:sz="4" w:space="0" w:color="000000"/>
            </w:tcBorders>
            <w:shd w:val="clear" w:color="auto" w:fill="9CC2E5"/>
          </w:tcPr>
          <w:p w:rsidR="005B0C54" w:rsidRDefault="004E43C7">
            <w:pPr>
              <w:spacing w:after="0" w:line="259" w:lineRule="auto"/>
              <w:ind w:left="0" w:firstLine="0"/>
              <w:jc w:val="left"/>
            </w:pPr>
            <w:r>
              <w:rPr>
                <w:rFonts w:ascii="Calibri" w:eastAsia="Calibri" w:hAnsi="Calibri" w:cs="Calibri"/>
                <w:i w:val="0"/>
                <w:sz w:val="22"/>
              </w:rPr>
              <w:t xml:space="preserve"> </w:t>
            </w:r>
          </w:p>
        </w:tc>
      </w:tr>
      <w:tr w:rsidR="005B0C54">
        <w:trPr>
          <w:trHeight w:val="520"/>
        </w:trPr>
        <w:tc>
          <w:tcPr>
            <w:tcW w:w="4813" w:type="dxa"/>
            <w:tcBorders>
              <w:top w:val="single" w:sz="4" w:space="0" w:color="000000"/>
              <w:left w:val="single" w:sz="4" w:space="0" w:color="000000"/>
              <w:bottom w:val="single" w:sz="4" w:space="0" w:color="000000"/>
              <w:right w:val="single" w:sz="4" w:space="0" w:color="000000"/>
            </w:tcBorders>
            <w:vAlign w:val="center"/>
          </w:tcPr>
          <w:p w:rsidR="005B0C54" w:rsidRDefault="004E43C7">
            <w:pPr>
              <w:spacing w:after="0" w:line="259" w:lineRule="auto"/>
              <w:ind w:left="0" w:firstLine="0"/>
              <w:jc w:val="left"/>
            </w:pPr>
            <w:r>
              <w:rPr>
                <w:rFonts w:ascii="Calibri" w:eastAsia="Calibri" w:hAnsi="Calibri" w:cs="Calibri"/>
                <w:i w:val="0"/>
                <w:sz w:val="22"/>
              </w:rPr>
              <w:t xml:space="preserve">Ordine/collegio </w:t>
            </w:r>
          </w:p>
        </w:tc>
        <w:tc>
          <w:tcPr>
            <w:tcW w:w="4814" w:type="dxa"/>
            <w:tcBorders>
              <w:top w:val="single" w:sz="4" w:space="0" w:color="000000"/>
              <w:left w:val="single" w:sz="4" w:space="0" w:color="000000"/>
              <w:bottom w:val="single" w:sz="4" w:space="0" w:color="000000"/>
              <w:right w:val="single" w:sz="4" w:space="0" w:color="000000"/>
            </w:tcBorders>
          </w:tcPr>
          <w:p w:rsidR="005B0C54" w:rsidRDefault="004E43C7">
            <w:pPr>
              <w:spacing w:after="0" w:line="259" w:lineRule="auto"/>
              <w:ind w:left="0" w:firstLine="0"/>
              <w:jc w:val="left"/>
            </w:pPr>
            <w:r>
              <w:rPr>
                <w:rFonts w:ascii="Calibri" w:eastAsia="Calibri" w:hAnsi="Calibri" w:cs="Calibri"/>
                <w:i w:val="0"/>
                <w:sz w:val="22"/>
              </w:rPr>
              <w:t xml:space="preserve"> </w:t>
            </w:r>
          </w:p>
        </w:tc>
      </w:tr>
      <w:tr w:rsidR="005B0C54">
        <w:trPr>
          <w:trHeight w:val="521"/>
        </w:trPr>
        <w:tc>
          <w:tcPr>
            <w:tcW w:w="4813" w:type="dxa"/>
            <w:tcBorders>
              <w:top w:val="single" w:sz="4" w:space="0" w:color="000000"/>
              <w:left w:val="single" w:sz="4" w:space="0" w:color="000000"/>
              <w:bottom w:val="single" w:sz="4" w:space="0" w:color="000000"/>
              <w:right w:val="single" w:sz="4" w:space="0" w:color="000000"/>
            </w:tcBorders>
            <w:vAlign w:val="center"/>
          </w:tcPr>
          <w:p w:rsidR="005B0C54" w:rsidRDefault="004E43C7">
            <w:pPr>
              <w:spacing w:after="0" w:line="259" w:lineRule="auto"/>
              <w:ind w:left="0" w:firstLine="0"/>
              <w:jc w:val="left"/>
            </w:pPr>
            <w:r>
              <w:rPr>
                <w:rFonts w:ascii="Calibri" w:eastAsia="Calibri" w:hAnsi="Calibri" w:cs="Calibri"/>
                <w:i w:val="0"/>
                <w:sz w:val="22"/>
              </w:rPr>
              <w:t xml:space="preserve">Numero iscrizione </w:t>
            </w:r>
          </w:p>
        </w:tc>
        <w:tc>
          <w:tcPr>
            <w:tcW w:w="4814" w:type="dxa"/>
            <w:tcBorders>
              <w:top w:val="single" w:sz="4" w:space="0" w:color="000000"/>
              <w:left w:val="single" w:sz="4" w:space="0" w:color="000000"/>
              <w:bottom w:val="single" w:sz="4" w:space="0" w:color="000000"/>
              <w:right w:val="single" w:sz="4" w:space="0" w:color="000000"/>
            </w:tcBorders>
          </w:tcPr>
          <w:p w:rsidR="005B0C54" w:rsidRDefault="004E43C7">
            <w:pPr>
              <w:spacing w:after="0" w:line="259" w:lineRule="auto"/>
              <w:ind w:left="0" w:firstLine="0"/>
              <w:jc w:val="left"/>
            </w:pPr>
            <w:r>
              <w:rPr>
                <w:rFonts w:ascii="Calibri" w:eastAsia="Calibri" w:hAnsi="Calibri" w:cs="Calibri"/>
                <w:i w:val="0"/>
                <w:sz w:val="22"/>
              </w:rPr>
              <w:t xml:space="preserve"> </w:t>
            </w:r>
          </w:p>
        </w:tc>
      </w:tr>
      <w:tr w:rsidR="005B0C54">
        <w:trPr>
          <w:trHeight w:val="521"/>
        </w:trPr>
        <w:tc>
          <w:tcPr>
            <w:tcW w:w="4813" w:type="dxa"/>
            <w:tcBorders>
              <w:top w:val="single" w:sz="4" w:space="0" w:color="000000"/>
              <w:left w:val="single" w:sz="4" w:space="0" w:color="000000"/>
              <w:bottom w:val="single" w:sz="4" w:space="0" w:color="000000"/>
              <w:right w:val="single" w:sz="4" w:space="0" w:color="000000"/>
            </w:tcBorders>
            <w:vAlign w:val="center"/>
          </w:tcPr>
          <w:p w:rsidR="005B0C54" w:rsidRDefault="004E43C7">
            <w:pPr>
              <w:spacing w:after="0" w:line="259" w:lineRule="auto"/>
              <w:ind w:left="0" w:firstLine="0"/>
              <w:jc w:val="left"/>
            </w:pPr>
            <w:r>
              <w:rPr>
                <w:rFonts w:ascii="Calibri" w:eastAsia="Calibri" w:hAnsi="Calibri" w:cs="Calibri"/>
                <w:i w:val="0"/>
                <w:sz w:val="22"/>
              </w:rPr>
              <w:t xml:space="preserve">Data iscrizione </w:t>
            </w:r>
          </w:p>
        </w:tc>
        <w:tc>
          <w:tcPr>
            <w:tcW w:w="4814" w:type="dxa"/>
            <w:tcBorders>
              <w:top w:val="single" w:sz="4" w:space="0" w:color="000000"/>
              <w:left w:val="single" w:sz="4" w:space="0" w:color="000000"/>
              <w:bottom w:val="single" w:sz="4" w:space="0" w:color="000000"/>
              <w:right w:val="single" w:sz="4" w:space="0" w:color="000000"/>
            </w:tcBorders>
          </w:tcPr>
          <w:p w:rsidR="005B0C54" w:rsidRDefault="004E43C7">
            <w:pPr>
              <w:spacing w:after="0" w:line="259" w:lineRule="auto"/>
              <w:ind w:left="0" w:firstLine="0"/>
              <w:jc w:val="left"/>
            </w:pPr>
            <w:r>
              <w:rPr>
                <w:rFonts w:ascii="Calibri" w:eastAsia="Calibri" w:hAnsi="Calibri" w:cs="Calibri"/>
                <w:i w:val="0"/>
                <w:sz w:val="22"/>
              </w:rPr>
              <w:t xml:space="preserve"> </w:t>
            </w:r>
          </w:p>
        </w:tc>
      </w:tr>
    </w:tbl>
    <w:p w:rsidR="005B0C54" w:rsidRDefault="004E43C7">
      <w:pPr>
        <w:spacing w:after="158" w:line="259" w:lineRule="auto"/>
        <w:ind w:left="0" w:firstLine="0"/>
        <w:jc w:val="left"/>
      </w:pPr>
      <w:r>
        <w:rPr>
          <w:rFonts w:ascii="Calibri" w:eastAsia="Calibri" w:hAnsi="Calibri" w:cs="Calibri"/>
          <w:i w:val="0"/>
          <w:sz w:val="22"/>
        </w:rPr>
        <w:t xml:space="preserve"> </w:t>
      </w:r>
    </w:p>
    <w:p w:rsidR="005B0C54" w:rsidRDefault="004E43C7">
      <w:pPr>
        <w:spacing w:after="3" w:line="259" w:lineRule="auto"/>
        <w:ind w:left="-5" w:right="200"/>
        <w:jc w:val="left"/>
      </w:pPr>
      <w:r>
        <w:rPr>
          <w:rFonts w:ascii="Calibri" w:eastAsia="Calibri" w:hAnsi="Calibri" w:cs="Calibri"/>
          <w:i w:val="0"/>
          <w:sz w:val="22"/>
        </w:rPr>
        <w:t xml:space="preserve">Presa visione dell’elenco degli operatori economici che hanno presentato offerta a valere sulla gara: </w:t>
      </w:r>
    </w:p>
    <w:tbl>
      <w:tblPr>
        <w:tblStyle w:val="TableGrid"/>
        <w:tblW w:w="9627" w:type="dxa"/>
        <w:tblInd w:w="7" w:type="dxa"/>
        <w:tblCellMar>
          <w:top w:w="44" w:type="dxa"/>
          <w:left w:w="108" w:type="dxa"/>
          <w:bottom w:w="0" w:type="dxa"/>
          <w:right w:w="115" w:type="dxa"/>
        </w:tblCellMar>
        <w:tblLook w:val="04A0" w:firstRow="1" w:lastRow="0" w:firstColumn="1" w:lastColumn="0" w:noHBand="0" w:noVBand="1"/>
      </w:tblPr>
      <w:tblGrid>
        <w:gridCol w:w="4813"/>
        <w:gridCol w:w="4814"/>
      </w:tblGrid>
      <w:tr w:rsidR="005B0C54">
        <w:trPr>
          <w:trHeight w:val="516"/>
        </w:trPr>
        <w:tc>
          <w:tcPr>
            <w:tcW w:w="4813" w:type="dxa"/>
            <w:tcBorders>
              <w:top w:val="single" w:sz="4" w:space="0" w:color="000000"/>
              <w:left w:val="single" w:sz="4" w:space="0" w:color="000000"/>
              <w:bottom w:val="single" w:sz="4" w:space="0" w:color="000000"/>
              <w:right w:val="single" w:sz="4" w:space="0" w:color="000000"/>
            </w:tcBorders>
            <w:shd w:val="clear" w:color="auto" w:fill="9CC2E5"/>
            <w:vAlign w:val="center"/>
          </w:tcPr>
          <w:p w:rsidR="005B0C54" w:rsidRDefault="004E43C7">
            <w:pPr>
              <w:spacing w:after="0" w:line="259" w:lineRule="auto"/>
              <w:ind w:left="0" w:firstLine="0"/>
              <w:jc w:val="left"/>
            </w:pPr>
            <w:r>
              <w:rPr>
                <w:rFonts w:ascii="Calibri" w:eastAsia="Calibri" w:hAnsi="Calibri" w:cs="Calibri"/>
                <w:b/>
                <w:i w:val="0"/>
                <w:sz w:val="22"/>
              </w:rPr>
              <w:t xml:space="preserve">Gara </w:t>
            </w:r>
          </w:p>
        </w:tc>
        <w:tc>
          <w:tcPr>
            <w:tcW w:w="4814" w:type="dxa"/>
            <w:tcBorders>
              <w:top w:val="single" w:sz="4" w:space="0" w:color="000000"/>
              <w:left w:val="single" w:sz="4" w:space="0" w:color="000000"/>
              <w:bottom w:val="single" w:sz="4" w:space="0" w:color="000000"/>
              <w:right w:val="single" w:sz="4" w:space="0" w:color="000000"/>
            </w:tcBorders>
            <w:shd w:val="clear" w:color="auto" w:fill="9CC2E5"/>
          </w:tcPr>
          <w:p w:rsidR="005B0C54" w:rsidRDefault="004E43C7">
            <w:pPr>
              <w:spacing w:after="0" w:line="259" w:lineRule="auto"/>
              <w:ind w:left="0" w:firstLine="0"/>
              <w:jc w:val="left"/>
            </w:pPr>
            <w:r>
              <w:rPr>
                <w:rFonts w:ascii="Calibri" w:eastAsia="Calibri" w:hAnsi="Calibri" w:cs="Calibri"/>
                <w:i w:val="0"/>
                <w:sz w:val="22"/>
              </w:rPr>
              <w:t xml:space="preserve"> </w:t>
            </w:r>
          </w:p>
        </w:tc>
      </w:tr>
      <w:tr w:rsidR="005B0C54">
        <w:trPr>
          <w:trHeight w:val="522"/>
        </w:trPr>
        <w:tc>
          <w:tcPr>
            <w:tcW w:w="4813" w:type="dxa"/>
            <w:tcBorders>
              <w:top w:val="single" w:sz="4" w:space="0" w:color="000000"/>
              <w:left w:val="single" w:sz="4" w:space="0" w:color="000000"/>
              <w:bottom w:val="single" w:sz="4" w:space="0" w:color="000000"/>
              <w:right w:val="single" w:sz="4" w:space="0" w:color="000000"/>
            </w:tcBorders>
            <w:vAlign w:val="center"/>
          </w:tcPr>
          <w:p w:rsidR="005B0C54" w:rsidRDefault="004E43C7">
            <w:pPr>
              <w:spacing w:after="0" w:line="259" w:lineRule="auto"/>
              <w:ind w:left="0" w:firstLine="0"/>
              <w:jc w:val="left"/>
            </w:pPr>
            <w:r>
              <w:rPr>
                <w:rFonts w:ascii="Calibri" w:eastAsia="Calibri" w:hAnsi="Calibri" w:cs="Calibri"/>
                <w:i w:val="0"/>
                <w:sz w:val="22"/>
              </w:rPr>
              <w:t xml:space="preserve">Procedura </w:t>
            </w:r>
          </w:p>
        </w:tc>
        <w:tc>
          <w:tcPr>
            <w:tcW w:w="4814" w:type="dxa"/>
            <w:tcBorders>
              <w:top w:val="single" w:sz="4" w:space="0" w:color="000000"/>
              <w:left w:val="single" w:sz="4" w:space="0" w:color="000000"/>
              <w:bottom w:val="single" w:sz="4" w:space="0" w:color="000000"/>
              <w:right w:val="single" w:sz="4" w:space="0" w:color="000000"/>
            </w:tcBorders>
          </w:tcPr>
          <w:p w:rsidR="005B0C54" w:rsidRDefault="004E43C7">
            <w:pPr>
              <w:spacing w:after="0" w:line="259" w:lineRule="auto"/>
              <w:ind w:left="0" w:firstLine="0"/>
              <w:jc w:val="left"/>
            </w:pPr>
            <w:r>
              <w:rPr>
                <w:rFonts w:ascii="Calibri" w:eastAsia="Calibri" w:hAnsi="Calibri" w:cs="Calibri"/>
                <w:i w:val="0"/>
                <w:sz w:val="22"/>
              </w:rPr>
              <w:t xml:space="preserve"> </w:t>
            </w:r>
          </w:p>
        </w:tc>
      </w:tr>
      <w:tr w:rsidR="005B0C54">
        <w:trPr>
          <w:trHeight w:val="521"/>
        </w:trPr>
        <w:tc>
          <w:tcPr>
            <w:tcW w:w="4813" w:type="dxa"/>
            <w:tcBorders>
              <w:top w:val="single" w:sz="4" w:space="0" w:color="000000"/>
              <w:left w:val="single" w:sz="4" w:space="0" w:color="000000"/>
              <w:bottom w:val="single" w:sz="4" w:space="0" w:color="000000"/>
              <w:right w:val="single" w:sz="4" w:space="0" w:color="000000"/>
            </w:tcBorders>
            <w:vAlign w:val="center"/>
          </w:tcPr>
          <w:p w:rsidR="005B0C54" w:rsidRDefault="004E43C7">
            <w:pPr>
              <w:spacing w:after="0" w:line="259" w:lineRule="auto"/>
              <w:ind w:left="0" w:firstLine="0"/>
              <w:jc w:val="left"/>
            </w:pPr>
            <w:r>
              <w:rPr>
                <w:rFonts w:ascii="Calibri" w:eastAsia="Calibri" w:hAnsi="Calibri" w:cs="Calibri"/>
                <w:i w:val="0"/>
                <w:sz w:val="22"/>
              </w:rPr>
              <w:t xml:space="preserve">CIG </w:t>
            </w:r>
          </w:p>
        </w:tc>
        <w:tc>
          <w:tcPr>
            <w:tcW w:w="4814" w:type="dxa"/>
            <w:tcBorders>
              <w:top w:val="single" w:sz="4" w:space="0" w:color="000000"/>
              <w:left w:val="single" w:sz="4" w:space="0" w:color="000000"/>
              <w:bottom w:val="single" w:sz="4" w:space="0" w:color="000000"/>
              <w:right w:val="single" w:sz="4" w:space="0" w:color="000000"/>
            </w:tcBorders>
          </w:tcPr>
          <w:p w:rsidR="005B0C54" w:rsidRDefault="004E43C7">
            <w:pPr>
              <w:spacing w:after="0" w:line="259" w:lineRule="auto"/>
              <w:ind w:left="0" w:firstLine="0"/>
              <w:jc w:val="left"/>
            </w:pPr>
            <w:r>
              <w:rPr>
                <w:rFonts w:ascii="Calibri" w:eastAsia="Calibri" w:hAnsi="Calibri" w:cs="Calibri"/>
                <w:i w:val="0"/>
                <w:sz w:val="22"/>
              </w:rPr>
              <w:t xml:space="preserve"> </w:t>
            </w:r>
          </w:p>
        </w:tc>
      </w:tr>
      <w:tr w:rsidR="005B0C54">
        <w:trPr>
          <w:trHeight w:val="518"/>
        </w:trPr>
        <w:tc>
          <w:tcPr>
            <w:tcW w:w="4813" w:type="dxa"/>
            <w:tcBorders>
              <w:top w:val="single" w:sz="4" w:space="0" w:color="000000"/>
              <w:left w:val="single" w:sz="4" w:space="0" w:color="000000"/>
              <w:bottom w:val="single" w:sz="4" w:space="0" w:color="000000"/>
              <w:right w:val="single" w:sz="4" w:space="0" w:color="000000"/>
            </w:tcBorders>
            <w:vAlign w:val="center"/>
          </w:tcPr>
          <w:p w:rsidR="005B0C54" w:rsidRDefault="004E43C7">
            <w:pPr>
              <w:spacing w:after="0" w:line="259" w:lineRule="auto"/>
              <w:ind w:left="0" w:firstLine="0"/>
              <w:jc w:val="left"/>
            </w:pPr>
            <w:r>
              <w:rPr>
                <w:rFonts w:ascii="Calibri" w:eastAsia="Calibri" w:hAnsi="Calibri" w:cs="Calibri"/>
                <w:i w:val="0"/>
                <w:sz w:val="22"/>
              </w:rPr>
              <w:t xml:space="preserve">CUP </w:t>
            </w:r>
          </w:p>
        </w:tc>
        <w:tc>
          <w:tcPr>
            <w:tcW w:w="4814" w:type="dxa"/>
            <w:tcBorders>
              <w:top w:val="single" w:sz="4" w:space="0" w:color="000000"/>
              <w:left w:val="single" w:sz="4" w:space="0" w:color="000000"/>
              <w:bottom w:val="single" w:sz="4" w:space="0" w:color="000000"/>
              <w:right w:val="single" w:sz="4" w:space="0" w:color="000000"/>
            </w:tcBorders>
          </w:tcPr>
          <w:p w:rsidR="005B0C54" w:rsidRDefault="004E43C7">
            <w:pPr>
              <w:spacing w:after="0" w:line="259" w:lineRule="auto"/>
              <w:ind w:left="0" w:firstLine="0"/>
              <w:jc w:val="left"/>
            </w:pPr>
            <w:r>
              <w:rPr>
                <w:rFonts w:ascii="Calibri" w:eastAsia="Calibri" w:hAnsi="Calibri" w:cs="Calibri"/>
                <w:i w:val="0"/>
                <w:sz w:val="22"/>
              </w:rPr>
              <w:t xml:space="preserve"> </w:t>
            </w:r>
          </w:p>
        </w:tc>
      </w:tr>
    </w:tbl>
    <w:p w:rsidR="005B0C54" w:rsidRDefault="004E43C7">
      <w:pPr>
        <w:spacing w:after="160" w:line="259" w:lineRule="auto"/>
        <w:ind w:left="0" w:firstLine="0"/>
        <w:jc w:val="left"/>
        <w:rPr>
          <w:rFonts w:ascii="Calibri" w:eastAsia="Calibri" w:hAnsi="Calibri" w:cs="Calibri"/>
          <w:i w:val="0"/>
          <w:sz w:val="22"/>
        </w:rPr>
      </w:pPr>
      <w:r>
        <w:rPr>
          <w:rFonts w:ascii="Calibri" w:eastAsia="Calibri" w:hAnsi="Calibri" w:cs="Calibri"/>
          <w:i w:val="0"/>
          <w:sz w:val="22"/>
        </w:rPr>
        <w:t xml:space="preserve"> </w:t>
      </w:r>
    </w:p>
    <w:p w:rsidR="004E43C7" w:rsidRDefault="004E43C7">
      <w:pPr>
        <w:spacing w:after="160" w:line="259" w:lineRule="auto"/>
        <w:ind w:left="0" w:firstLine="0"/>
        <w:jc w:val="left"/>
        <w:rPr>
          <w:rFonts w:ascii="Calibri" w:eastAsia="Calibri" w:hAnsi="Calibri" w:cs="Calibri"/>
          <w:i w:val="0"/>
          <w:sz w:val="22"/>
        </w:rPr>
      </w:pPr>
    </w:p>
    <w:p w:rsidR="004E43C7" w:rsidRDefault="004E43C7">
      <w:pPr>
        <w:spacing w:after="160" w:line="259" w:lineRule="auto"/>
        <w:ind w:left="0" w:firstLine="0"/>
        <w:jc w:val="left"/>
        <w:rPr>
          <w:rFonts w:ascii="Calibri" w:eastAsia="Calibri" w:hAnsi="Calibri" w:cs="Calibri"/>
          <w:i w:val="0"/>
          <w:sz w:val="22"/>
        </w:rPr>
      </w:pPr>
    </w:p>
    <w:p w:rsidR="004E43C7" w:rsidRDefault="004E43C7">
      <w:pPr>
        <w:spacing w:after="160" w:line="259" w:lineRule="auto"/>
        <w:ind w:left="0" w:firstLine="0"/>
        <w:jc w:val="left"/>
      </w:pPr>
      <w:bookmarkStart w:id="0" w:name="_GoBack"/>
      <w:bookmarkEnd w:id="0"/>
    </w:p>
    <w:p w:rsidR="005B0C54" w:rsidRDefault="004E43C7">
      <w:pPr>
        <w:spacing w:after="158" w:line="259" w:lineRule="auto"/>
        <w:ind w:left="-5" w:right="200"/>
        <w:jc w:val="left"/>
      </w:pPr>
      <w:r>
        <w:rPr>
          <w:rFonts w:ascii="Calibri" w:eastAsia="Calibri" w:hAnsi="Calibri" w:cs="Calibri"/>
          <w:i w:val="0"/>
          <w:sz w:val="22"/>
        </w:rPr>
        <w:lastRenderedPageBreak/>
        <w:t xml:space="preserve">In relazione: </w:t>
      </w:r>
    </w:p>
    <w:p w:rsidR="005B0C54" w:rsidRDefault="004E43C7">
      <w:pPr>
        <w:spacing w:after="3" w:line="402" w:lineRule="auto"/>
        <w:ind w:left="-5" w:right="200"/>
        <w:jc w:val="left"/>
      </w:pPr>
      <w:r>
        <w:rPr>
          <w:i w:val="0"/>
          <w:sz w:val="22"/>
        </w:rPr>
        <w:t>□</w:t>
      </w:r>
      <w:r>
        <w:rPr>
          <w:rFonts w:ascii="Calibri" w:eastAsia="Calibri" w:hAnsi="Calibri" w:cs="Calibri"/>
          <w:i w:val="0"/>
          <w:sz w:val="22"/>
        </w:rPr>
        <w:t xml:space="preserve"> all’incarico, svolto in qualità di _____________________________________________________ </w:t>
      </w:r>
      <w:r>
        <w:rPr>
          <w:rFonts w:ascii="Calibri" w:eastAsia="Calibri" w:hAnsi="Calibri" w:cs="Calibri"/>
          <w:sz w:val="22"/>
        </w:rPr>
        <w:t xml:space="preserve">Oppure </w:t>
      </w:r>
    </w:p>
    <w:p w:rsidR="005B0C54" w:rsidRDefault="004E43C7">
      <w:pPr>
        <w:spacing w:after="3" w:line="259" w:lineRule="auto"/>
        <w:ind w:left="-5" w:right="200"/>
        <w:jc w:val="left"/>
      </w:pPr>
      <w:r>
        <w:rPr>
          <w:i w:val="0"/>
          <w:sz w:val="22"/>
        </w:rPr>
        <w:t>□</w:t>
      </w:r>
      <w:r>
        <w:rPr>
          <w:rFonts w:ascii="Calibri" w:eastAsia="Calibri" w:hAnsi="Calibri" w:cs="Calibri"/>
          <w:i w:val="0"/>
          <w:sz w:val="22"/>
        </w:rPr>
        <w:t xml:space="preserve"> In relazione alla nomina come membro della Commissione giudicatrice della suddetta gara </w:t>
      </w:r>
    </w:p>
    <w:p w:rsidR="005B0C54" w:rsidRDefault="004E43C7">
      <w:pPr>
        <w:spacing w:after="158" w:line="259" w:lineRule="auto"/>
        <w:ind w:left="-5" w:right="200"/>
        <w:jc w:val="left"/>
      </w:pPr>
      <w:r>
        <w:rPr>
          <w:rFonts w:ascii="Calibri" w:eastAsia="Calibri" w:hAnsi="Calibri" w:cs="Calibri"/>
          <w:i w:val="0"/>
          <w:sz w:val="22"/>
        </w:rPr>
        <w:t xml:space="preserve">Ai sensi dell’art. 47 del </w:t>
      </w:r>
      <w:proofErr w:type="spellStart"/>
      <w:r>
        <w:rPr>
          <w:rFonts w:ascii="Calibri" w:eastAsia="Calibri" w:hAnsi="Calibri" w:cs="Calibri"/>
          <w:i w:val="0"/>
          <w:sz w:val="22"/>
        </w:rPr>
        <w:t>d.P.R.</w:t>
      </w:r>
      <w:proofErr w:type="spellEnd"/>
      <w:r>
        <w:rPr>
          <w:rFonts w:ascii="Calibri" w:eastAsia="Calibri" w:hAnsi="Calibri" w:cs="Calibri"/>
          <w:i w:val="0"/>
          <w:sz w:val="22"/>
        </w:rPr>
        <w:t xml:space="preserve"> n. 445/2000 e s.m.i. e consapevole delle sanzioni penali previste dall’art. 76 del medesimo </w:t>
      </w:r>
      <w:proofErr w:type="spellStart"/>
      <w:r>
        <w:rPr>
          <w:rFonts w:ascii="Calibri" w:eastAsia="Calibri" w:hAnsi="Calibri" w:cs="Calibri"/>
          <w:i w:val="0"/>
          <w:sz w:val="22"/>
        </w:rPr>
        <w:t>d.P.R.</w:t>
      </w:r>
      <w:proofErr w:type="spellEnd"/>
      <w:r>
        <w:rPr>
          <w:rFonts w:ascii="Calibri" w:eastAsia="Calibri" w:hAnsi="Calibri" w:cs="Calibri"/>
          <w:i w:val="0"/>
          <w:sz w:val="22"/>
        </w:rPr>
        <w:t xml:space="preserve"> n. 445/2000 per le ipotesi di falsità in atti e dichiarazioni mendaci ivi indicate, sotto la propria responsabilità </w:t>
      </w:r>
    </w:p>
    <w:p w:rsidR="005B0C54" w:rsidRDefault="004E43C7">
      <w:pPr>
        <w:spacing w:after="207" w:line="259" w:lineRule="auto"/>
        <w:ind w:left="0" w:right="1" w:firstLine="0"/>
        <w:jc w:val="center"/>
      </w:pPr>
      <w:r>
        <w:rPr>
          <w:rFonts w:ascii="Calibri" w:eastAsia="Calibri" w:hAnsi="Calibri" w:cs="Calibri"/>
          <w:b/>
          <w:i w:val="0"/>
          <w:sz w:val="22"/>
        </w:rPr>
        <w:t>DICHIAR</w:t>
      </w:r>
      <w:r>
        <w:rPr>
          <w:rFonts w:ascii="Calibri" w:eastAsia="Calibri" w:hAnsi="Calibri" w:cs="Calibri"/>
          <w:b/>
          <w:i w:val="0"/>
          <w:sz w:val="22"/>
        </w:rPr>
        <w:t xml:space="preserve">A </w:t>
      </w:r>
    </w:p>
    <w:p w:rsidR="005B0C54" w:rsidRDefault="004E43C7">
      <w:pPr>
        <w:numPr>
          <w:ilvl w:val="0"/>
          <w:numId w:val="1"/>
        </w:numPr>
        <w:spacing w:after="133" w:line="298" w:lineRule="auto"/>
        <w:ind w:hanging="360"/>
        <w:jc w:val="left"/>
      </w:pPr>
      <w:r>
        <w:rPr>
          <w:b/>
          <w:i w:val="0"/>
          <w:sz w:val="22"/>
        </w:rPr>
        <w:t xml:space="preserve">L’inesistenza a proprio carico delle cause di incompatibilità previste dall’art. 93, comma 5 del </w:t>
      </w:r>
      <w:proofErr w:type="gramStart"/>
      <w:r>
        <w:rPr>
          <w:b/>
          <w:i w:val="0"/>
          <w:sz w:val="22"/>
        </w:rPr>
        <w:t>D.Lgs</w:t>
      </w:r>
      <w:proofErr w:type="gramEnd"/>
      <w:r>
        <w:rPr>
          <w:b/>
          <w:i w:val="0"/>
          <w:sz w:val="22"/>
        </w:rPr>
        <w:t xml:space="preserve"> 36/2023: </w:t>
      </w:r>
    </w:p>
    <w:p w:rsidR="005B0C54" w:rsidRDefault="004E43C7">
      <w:pPr>
        <w:spacing w:after="197" w:line="259" w:lineRule="auto"/>
        <w:ind w:left="715"/>
        <w:jc w:val="left"/>
      </w:pPr>
      <w:r>
        <w:t>“</w:t>
      </w:r>
      <w:r>
        <w:rPr>
          <w:b/>
        </w:rPr>
        <w:t xml:space="preserve">Art. 93. (Commissione giudicatrice)  </w:t>
      </w:r>
    </w:p>
    <w:p w:rsidR="005B0C54" w:rsidRDefault="004E43C7">
      <w:pPr>
        <w:spacing w:after="151"/>
        <w:ind w:left="715"/>
      </w:pPr>
      <w:r>
        <w:t xml:space="preserve">5. Non possono essere nominati commissari: </w:t>
      </w:r>
    </w:p>
    <w:p w:rsidR="005B0C54" w:rsidRDefault="004E43C7">
      <w:pPr>
        <w:numPr>
          <w:ilvl w:val="1"/>
          <w:numId w:val="2"/>
        </w:numPr>
      </w:pPr>
      <w:r>
        <w:t>coloro che nel biennio precedente all’indizione della pro</w:t>
      </w:r>
      <w:r>
        <w:t xml:space="preserve">cedura di aggiudicazione sono stati componenti di organi di indirizzo politico della stazione appaltante; </w:t>
      </w:r>
    </w:p>
    <w:p w:rsidR="005B0C54" w:rsidRDefault="004E43C7">
      <w:pPr>
        <w:numPr>
          <w:ilvl w:val="1"/>
          <w:numId w:val="2"/>
        </w:numPr>
        <w:spacing w:after="221"/>
      </w:pPr>
      <w:r>
        <w:t xml:space="preserve">coloro che sono stati condannati, anche con sentenza non passata in giudicato, per i reati previsti nel Capo I del Titolo II del Libro II del codice </w:t>
      </w:r>
      <w:r>
        <w:t>penale; c) coloro che si trovano in una situazione di conflitto di interessi con uno degli operatori economici partecipanti alla procedura; costituiscono situazioni di conflitto di interessi quelle che determinano l'obbligo di astensione previste dall'</w:t>
      </w:r>
      <w:hyperlink r:id="rId5" w:anchor="07">
        <w:r>
          <w:rPr>
            <w:color w:val="0563C1"/>
            <w:u w:val="single" w:color="0563C1"/>
          </w:rPr>
          <w:t>articolo 7 del regolamento recante il codice di comportamento dei dipendenti pubblici, di cui al</w:t>
        </w:r>
      </w:hyperlink>
      <w:hyperlink r:id="rId6" w:anchor="07">
        <w:r>
          <w:rPr>
            <w:color w:val="0563C1"/>
          </w:rPr>
          <w:t xml:space="preserve"> </w:t>
        </w:r>
      </w:hyperlink>
      <w:hyperlink r:id="rId7" w:anchor="07">
        <w:r>
          <w:rPr>
            <w:color w:val="0563C1"/>
            <w:u w:val="single" w:color="0563C1"/>
          </w:rPr>
          <w:t>decreto del Presidente della Repubblica 16 aprile 2013, n. 62</w:t>
        </w:r>
      </w:hyperlink>
      <w:hyperlink r:id="rId8" w:anchor="07">
        <w:r>
          <w:t>”</w:t>
        </w:r>
      </w:hyperlink>
      <w:r>
        <w:t>.</w:t>
      </w:r>
      <w:r>
        <w:t xml:space="preserve"> </w:t>
      </w:r>
    </w:p>
    <w:p w:rsidR="005B0C54" w:rsidRDefault="004E43C7">
      <w:pPr>
        <w:numPr>
          <w:ilvl w:val="0"/>
          <w:numId w:val="1"/>
        </w:numPr>
        <w:spacing w:after="0" w:line="298" w:lineRule="auto"/>
        <w:ind w:hanging="360"/>
        <w:jc w:val="left"/>
      </w:pPr>
      <w:r>
        <w:rPr>
          <w:b/>
          <w:i w:val="0"/>
          <w:sz w:val="22"/>
        </w:rPr>
        <w:t xml:space="preserve">L’inesistenza a proprio carico delle cause di astensione ai sensi dell’art. 51 </w:t>
      </w:r>
      <w:proofErr w:type="spellStart"/>
      <w:r>
        <w:rPr>
          <w:b/>
          <w:i w:val="0"/>
          <w:sz w:val="22"/>
        </w:rPr>
        <w:t>c.p.c.</w:t>
      </w:r>
      <w:proofErr w:type="spellEnd"/>
      <w:r>
        <w:rPr>
          <w:b/>
          <w:i w:val="0"/>
          <w:sz w:val="22"/>
        </w:rPr>
        <w:t>:</w:t>
      </w:r>
      <w:r>
        <w:rPr>
          <w:b/>
        </w:rPr>
        <w:t xml:space="preserve"> </w:t>
      </w:r>
    </w:p>
    <w:p w:rsidR="005B0C54" w:rsidRDefault="004E43C7">
      <w:pPr>
        <w:spacing w:after="37" w:line="259" w:lineRule="auto"/>
        <w:ind w:left="715"/>
        <w:jc w:val="left"/>
      </w:pPr>
      <w:r>
        <w:t>“</w:t>
      </w:r>
      <w:r>
        <w:rPr>
          <w:b/>
        </w:rPr>
        <w:t xml:space="preserve">Art. 51 </w:t>
      </w:r>
      <w:proofErr w:type="spellStart"/>
      <w:r>
        <w:rPr>
          <w:b/>
        </w:rPr>
        <w:t>c.p.c.</w:t>
      </w:r>
      <w:proofErr w:type="spellEnd"/>
      <w:r>
        <w:rPr>
          <w:b/>
        </w:rPr>
        <w:t xml:space="preserve"> </w:t>
      </w:r>
    </w:p>
    <w:p w:rsidR="005B0C54" w:rsidRDefault="004E43C7">
      <w:pPr>
        <w:tabs>
          <w:tab w:val="center" w:pos="779"/>
          <w:tab w:val="center" w:pos="2485"/>
        </w:tabs>
        <w:ind w:left="0" w:firstLine="0"/>
        <w:jc w:val="left"/>
      </w:pPr>
      <w:r>
        <w:rPr>
          <w:rFonts w:ascii="Calibri" w:eastAsia="Calibri" w:hAnsi="Calibri" w:cs="Calibri"/>
          <w:i w:val="0"/>
          <w:sz w:val="22"/>
        </w:rPr>
        <w:tab/>
      </w:r>
      <w:r>
        <w:t>I.</w:t>
      </w:r>
      <w:r>
        <w:rPr>
          <w:rFonts w:ascii="Arial" w:eastAsia="Arial" w:hAnsi="Arial" w:cs="Arial"/>
        </w:rPr>
        <w:t xml:space="preserve"> </w:t>
      </w:r>
      <w:r>
        <w:rPr>
          <w:rFonts w:ascii="Arial" w:eastAsia="Arial" w:hAnsi="Arial" w:cs="Arial"/>
        </w:rPr>
        <w:tab/>
      </w:r>
      <w:r>
        <w:t xml:space="preserve">Il giudice ha l'obbligo di astenersi: </w:t>
      </w:r>
    </w:p>
    <w:p w:rsidR="005B0C54" w:rsidRDefault="004E43C7">
      <w:pPr>
        <w:numPr>
          <w:ilvl w:val="2"/>
          <w:numId w:val="1"/>
        </w:numPr>
        <w:ind w:hanging="360"/>
      </w:pPr>
      <w:r>
        <w:t xml:space="preserve">se ha interesse nella causa o in altra vertente su identica questione di diritto; </w:t>
      </w:r>
    </w:p>
    <w:p w:rsidR="005B0C54" w:rsidRDefault="004E43C7">
      <w:pPr>
        <w:numPr>
          <w:ilvl w:val="2"/>
          <w:numId w:val="1"/>
        </w:numPr>
        <w:ind w:hanging="360"/>
      </w:pPr>
      <w:r>
        <w:t xml:space="preserve">se egli stesso o la moglie è parente fino al quarto grado o legato da vincoli di affiliazione, o è convivente o commensale abituale di una delle parti o di alcuno dei difensori; </w:t>
      </w:r>
    </w:p>
    <w:p w:rsidR="005B0C54" w:rsidRDefault="004E43C7">
      <w:pPr>
        <w:numPr>
          <w:ilvl w:val="2"/>
          <w:numId w:val="1"/>
        </w:numPr>
        <w:ind w:hanging="360"/>
      </w:pPr>
      <w:r>
        <w:t>se egli stesso o la moglie ha causa pendente o grave inimicizia o rapporti di</w:t>
      </w:r>
      <w:r>
        <w:t xml:space="preserve"> credito o debito con una delle parti o alcuno dei suoi difensori;  </w:t>
      </w:r>
    </w:p>
    <w:p w:rsidR="005B0C54" w:rsidRDefault="004E43C7">
      <w:pPr>
        <w:numPr>
          <w:ilvl w:val="2"/>
          <w:numId w:val="1"/>
        </w:numPr>
        <w:ind w:hanging="360"/>
      </w:pPr>
      <w:r>
        <w:t>se ha dato consiglio o prestato patrocinio nella causa, o ha deposto in essa come testimone, oppure ne ha conosciuto come magistrato in altro grado del processo o come arbitro o vi ha pre</w:t>
      </w:r>
      <w:r>
        <w:t xml:space="preserve">stato assistenza come consulente tecnico;  </w:t>
      </w:r>
    </w:p>
    <w:p w:rsidR="005B0C54" w:rsidRDefault="004E43C7">
      <w:pPr>
        <w:numPr>
          <w:ilvl w:val="2"/>
          <w:numId w:val="1"/>
        </w:numPr>
        <w:spacing w:after="148"/>
        <w:ind w:hanging="360"/>
      </w:pPr>
      <w:r>
        <w:t>se è tutore, curatore, amministratore di sostegno, procuratore, agente o datore di lavoro di una delle parti; se, inoltre, è amministratore o gerente di un ente, di un'associazione anche non riconosciuta, di un c</w:t>
      </w:r>
      <w:r>
        <w:t xml:space="preserve">omitato, di una società o stabilimento che ha interesse nella causa. </w:t>
      </w:r>
    </w:p>
    <w:p w:rsidR="005B0C54" w:rsidRDefault="004E43C7">
      <w:pPr>
        <w:spacing w:after="221"/>
        <w:ind w:left="715"/>
      </w:pPr>
      <w:r>
        <w:t>II. In ogni altro caso in cui esistono gravi ragioni di convenienza, il giudice può richiedere al capo dell'ufficio l'autorizzazione ad astenersi; quando l'astensione riguarda il capo de</w:t>
      </w:r>
      <w:r>
        <w:t xml:space="preserve">ll'ufficio, l'autorizzazione è chiesta al capo dell'ufficio superiore”. </w:t>
      </w:r>
    </w:p>
    <w:p w:rsidR="005B0C54" w:rsidRDefault="004E43C7">
      <w:pPr>
        <w:numPr>
          <w:ilvl w:val="0"/>
          <w:numId w:val="1"/>
        </w:numPr>
        <w:spacing w:after="133" w:line="298" w:lineRule="auto"/>
        <w:ind w:hanging="360"/>
        <w:jc w:val="left"/>
      </w:pPr>
      <w:r>
        <w:rPr>
          <w:b/>
          <w:i w:val="0"/>
          <w:sz w:val="22"/>
        </w:rPr>
        <w:t xml:space="preserve">L’inesistenza a proprio carico delle situazioni di conflitto di interessi disciplinate dalle seguenti disposizioni: </w:t>
      </w:r>
    </w:p>
    <w:p w:rsidR="005B0C54" w:rsidRDefault="004E43C7">
      <w:pPr>
        <w:numPr>
          <w:ilvl w:val="1"/>
          <w:numId w:val="1"/>
        </w:numPr>
        <w:spacing w:after="159" w:line="259" w:lineRule="auto"/>
        <w:ind w:hanging="216"/>
      </w:pPr>
      <w:r>
        <w:rPr>
          <w:b/>
        </w:rPr>
        <w:t xml:space="preserve">Art. 16 </w:t>
      </w:r>
      <w:proofErr w:type="gramStart"/>
      <w:r>
        <w:rPr>
          <w:b/>
        </w:rPr>
        <w:t>D.Lgs</w:t>
      </w:r>
      <w:proofErr w:type="gramEnd"/>
      <w:r>
        <w:rPr>
          <w:b/>
        </w:rPr>
        <w:t xml:space="preserve">. 36/2023: </w:t>
      </w:r>
    </w:p>
    <w:p w:rsidR="005B0C54" w:rsidRDefault="004E43C7">
      <w:pPr>
        <w:spacing w:after="152" w:line="260" w:lineRule="auto"/>
        <w:ind w:left="708" w:right="5" w:firstLine="0"/>
      </w:pPr>
      <w:r>
        <w:t>“</w:t>
      </w:r>
      <w:r>
        <w:rPr>
          <w:rFonts w:ascii="Calibri" w:eastAsia="Calibri" w:hAnsi="Calibri" w:cs="Calibri"/>
        </w:rPr>
        <w:t>1. Si ha conflitto di interessi quando u</w:t>
      </w:r>
      <w:r>
        <w:rPr>
          <w:rFonts w:ascii="Calibri" w:eastAsia="Calibri" w:hAnsi="Calibri" w:cs="Calibri"/>
        </w:rPr>
        <w:t>n soggetto che, a qualsiasi titolo, interviene con compiti funzionali nella procedura di aggiudicazione o nella fase di esecuzione degli appalti o delle concessioni e ne può influenzare, in qualsiasi modo, il risultato, gli esiti e la gestione, ha direttam</w:t>
      </w:r>
      <w:r>
        <w:rPr>
          <w:rFonts w:ascii="Calibri" w:eastAsia="Calibri" w:hAnsi="Calibri" w:cs="Calibri"/>
        </w:rPr>
        <w:t xml:space="preserve">ente o indirettamente un interesse finanziario, </w:t>
      </w:r>
      <w:r>
        <w:rPr>
          <w:rFonts w:ascii="Calibri" w:eastAsia="Calibri" w:hAnsi="Calibri" w:cs="Calibri"/>
        </w:rPr>
        <w:lastRenderedPageBreak/>
        <w:t>economico o altro interesse personale che può essere percepito come una minaccia concreta ed effettiva alla sua imparzialità e indipendenza nel contesto della procedura di aggiudicazione o nella fase di esecu</w:t>
      </w:r>
      <w:r>
        <w:rPr>
          <w:rFonts w:ascii="Calibri" w:eastAsia="Calibri" w:hAnsi="Calibri" w:cs="Calibri"/>
        </w:rPr>
        <w:t xml:space="preserve">zione. </w:t>
      </w:r>
    </w:p>
    <w:p w:rsidR="005B0C54" w:rsidRDefault="004E43C7">
      <w:pPr>
        <w:numPr>
          <w:ilvl w:val="1"/>
          <w:numId w:val="1"/>
        </w:numPr>
        <w:spacing w:after="149"/>
        <w:ind w:hanging="216"/>
      </w:pPr>
      <w:r>
        <w:t>In coerenza con il principio della fiducia e per preservare la funzionalità dell’azione amministrativa, la percepita minaccia all’imparzialità e indipendenza deve essere provata da chi invoca il conflitto sulla base di presupposti specifici e docum</w:t>
      </w:r>
      <w:r>
        <w:t xml:space="preserve">entati e deve riferirsi a interessi effettivi, la cui soddisfazione sia conseguibile solo subordinando un interesse all’altro. </w:t>
      </w:r>
    </w:p>
    <w:p w:rsidR="005B0C54" w:rsidRDefault="004E43C7">
      <w:pPr>
        <w:numPr>
          <w:ilvl w:val="1"/>
          <w:numId w:val="1"/>
        </w:numPr>
        <w:ind w:hanging="216"/>
      </w:pPr>
      <w:r>
        <w:t>Il personale che versa nelle ipotesi di cui al comma 1 ne dà comunicazione alla stazione appaltante o all’ente concedente e si a</w:t>
      </w:r>
      <w:r>
        <w:t xml:space="preserve">stiene dal partecipare alla procedura di aggiudicazione e all’esecuzione. </w:t>
      </w:r>
    </w:p>
    <w:p w:rsidR="005B0C54" w:rsidRDefault="004E43C7">
      <w:pPr>
        <w:numPr>
          <w:ilvl w:val="1"/>
          <w:numId w:val="1"/>
        </w:numPr>
        <w:spacing w:after="189"/>
        <w:ind w:hanging="216"/>
      </w:pPr>
      <w:r>
        <w:t>Le stazioni appaltanti adottano misure adeguate per individuare, prevenire e risolvere in modo efficace ogni ipotesi di conflitto di interesse nello svolgimento delle procedure di aggiudicazione ed esecuzione degli appalti e delle concessioni e vigilano af</w:t>
      </w:r>
      <w:r>
        <w:t xml:space="preserve">finché gli adempimenti di cui al comma 3 siano rispettati”. </w:t>
      </w:r>
    </w:p>
    <w:p w:rsidR="005B0C54" w:rsidRDefault="004E43C7">
      <w:pPr>
        <w:numPr>
          <w:ilvl w:val="1"/>
          <w:numId w:val="4"/>
        </w:numPr>
        <w:spacing w:after="159" w:line="259" w:lineRule="auto"/>
        <w:ind w:hanging="216"/>
        <w:jc w:val="left"/>
      </w:pPr>
      <w:r>
        <w:rPr>
          <w:b/>
        </w:rPr>
        <w:t>Art. 6 bis legge 241/1990:</w:t>
      </w:r>
      <w:r>
        <w:t xml:space="preserve"> </w:t>
      </w:r>
    </w:p>
    <w:p w:rsidR="005B0C54" w:rsidRDefault="004E43C7">
      <w:pPr>
        <w:spacing w:after="190"/>
        <w:ind w:left="715"/>
      </w:pPr>
      <w:r>
        <w:t xml:space="preserve">“Il responsabile del procedimento e i titolari degli uffici competenti ad adottare i pareri, le valutazioni tecniche, gli atti </w:t>
      </w:r>
      <w:proofErr w:type="spellStart"/>
      <w:r>
        <w:t>endoprocedimentali</w:t>
      </w:r>
      <w:proofErr w:type="spellEnd"/>
      <w:r>
        <w:t xml:space="preserve"> e il provvedimento fi</w:t>
      </w:r>
      <w:r>
        <w:t xml:space="preserve">nale devono astenersi in caso di conflitto di interessi, segnalando ogni situazione di conflitto, anche potenziale”; </w:t>
      </w:r>
    </w:p>
    <w:p w:rsidR="005B0C54" w:rsidRDefault="004E43C7">
      <w:pPr>
        <w:numPr>
          <w:ilvl w:val="1"/>
          <w:numId w:val="4"/>
        </w:numPr>
        <w:spacing w:after="159" w:line="259" w:lineRule="auto"/>
        <w:ind w:hanging="216"/>
        <w:jc w:val="left"/>
      </w:pPr>
      <w:r>
        <w:rPr>
          <w:b/>
        </w:rPr>
        <w:t>Art. 6 comma 2 del DPR 62/2013:</w:t>
      </w:r>
      <w:r>
        <w:t xml:space="preserve"> </w:t>
      </w:r>
    </w:p>
    <w:p w:rsidR="005B0C54" w:rsidRDefault="004E43C7">
      <w:pPr>
        <w:spacing w:after="191"/>
        <w:ind w:left="715"/>
      </w:pPr>
      <w:r>
        <w:t>“Il dipendente si astiene dal prendere decisioni o svolgere attività inerenti alle sue mansioni in situaz</w:t>
      </w:r>
      <w:r>
        <w:t>ioni di conflitto, anche potenziale, di interessi con interessi personali, del coniuge, di conviventi, di parenti, di affini entro il secondo grado. Il conflitto può riguardare interessi di qualsiasi natura, anche non patrimoniali, come quelli derivanti da</w:t>
      </w:r>
      <w:r>
        <w:t xml:space="preserve">ll'intento di voler assecondare pressioni politiche, sindacali o dei superiori gerarchici”. </w:t>
      </w:r>
    </w:p>
    <w:p w:rsidR="005B0C54" w:rsidRDefault="004E43C7">
      <w:pPr>
        <w:numPr>
          <w:ilvl w:val="1"/>
          <w:numId w:val="4"/>
        </w:numPr>
        <w:spacing w:after="159" w:line="259" w:lineRule="auto"/>
        <w:ind w:hanging="216"/>
        <w:jc w:val="left"/>
      </w:pPr>
      <w:r>
        <w:rPr>
          <w:b/>
        </w:rPr>
        <w:t>Art. 7 del DPR 62/2013:</w:t>
      </w:r>
      <w:r>
        <w:t xml:space="preserve"> </w:t>
      </w:r>
    </w:p>
    <w:p w:rsidR="005B0C54" w:rsidRDefault="004E43C7">
      <w:pPr>
        <w:spacing w:after="223"/>
        <w:ind w:left="715"/>
      </w:pPr>
      <w:r>
        <w:t>“Il dipendente si astiene dal partecipare all'adozione di decisioni o ad attività che possano coinvolgere interessi propri, ovvero di suoi</w:t>
      </w:r>
      <w:r>
        <w:t xml:space="preserve"> parenti, affini entro il secondo grado, del coniuge o di conviventi, oppure di persone con le quali abbia rapporti di frequentazione abituale, ovvero, di soggetti od organizzazioni con cui egli o il coniuge abbia causa pendente o grave inimicizia o rappor</w:t>
      </w:r>
      <w:r>
        <w:t>ti di credito o debito significativi, ovvero di soggetti od organizzazioni di cui sia tutore, curatore, procuratore o agente, ovvero di enti, associazioni anche non riconosciute, comitati, società o stabilimenti di cui sia amministratore o gerente o dirige</w:t>
      </w:r>
      <w:r>
        <w:t xml:space="preserve">nte. Il dipendente si astiene in ogni altro caso in cui esistano gravi ragioni di convenienza. Sull'astensione decide il responsabile dell'ufficio di appartenenza”. </w:t>
      </w:r>
    </w:p>
    <w:p w:rsidR="005B0C54" w:rsidRDefault="004E43C7">
      <w:pPr>
        <w:numPr>
          <w:ilvl w:val="0"/>
          <w:numId w:val="1"/>
        </w:numPr>
        <w:spacing w:after="133" w:line="298" w:lineRule="auto"/>
        <w:ind w:hanging="360"/>
        <w:jc w:val="left"/>
      </w:pPr>
      <w:r>
        <w:rPr>
          <w:b/>
          <w:i w:val="0"/>
          <w:sz w:val="22"/>
        </w:rPr>
        <w:t>L’inesistenza a proprio carico delle situazioni previste all’art. 35 bis, comma 1, lett. c</w:t>
      </w:r>
      <w:r>
        <w:rPr>
          <w:b/>
          <w:i w:val="0"/>
          <w:sz w:val="22"/>
        </w:rPr>
        <w:t xml:space="preserve">, del D.lgs. 165/2001 </w:t>
      </w:r>
    </w:p>
    <w:p w:rsidR="005B0C54" w:rsidRDefault="004E43C7">
      <w:pPr>
        <w:spacing w:after="102" w:line="305" w:lineRule="auto"/>
        <w:ind w:left="708" w:firstLine="0"/>
        <w:jc w:val="left"/>
      </w:pPr>
      <w:r>
        <w:rPr>
          <w:sz w:val="22"/>
        </w:rPr>
        <w:t>“</w:t>
      </w:r>
      <w:r>
        <w:rPr>
          <w:b/>
          <w:sz w:val="22"/>
        </w:rPr>
        <w:t xml:space="preserve">Art. 35-bis (Prevenzione del fenomeno della corruzione nella formazione di commissioni e nelle assegnazioni agli uffici). </w:t>
      </w:r>
    </w:p>
    <w:p w:rsidR="005B0C54" w:rsidRDefault="004E43C7">
      <w:pPr>
        <w:numPr>
          <w:ilvl w:val="1"/>
          <w:numId w:val="1"/>
        </w:numPr>
        <w:spacing w:after="127" w:line="287" w:lineRule="auto"/>
        <w:ind w:hanging="216"/>
      </w:pPr>
      <w:r>
        <w:rPr>
          <w:sz w:val="22"/>
        </w:rPr>
        <w:t xml:space="preserve">Coloro che sono stati condannati, anche con sentenza non passata in giudicato, per i reati previsti nel capo </w:t>
      </w:r>
      <w:r>
        <w:rPr>
          <w:sz w:val="22"/>
        </w:rPr>
        <w:t xml:space="preserve">I del titolo II del libro secondo del codice penale: </w:t>
      </w:r>
    </w:p>
    <w:p w:rsidR="005B0C54" w:rsidRDefault="004E43C7">
      <w:pPr>
        <w:numPr>
          <w:ilvl w:val="1"/>
          <w:numId w:val="3"/>
        </w:numPr>
        <w:spacing w:after="127" w:line="287" w:lineRule="auto"/>
        <w:ind w:right="-11"/>
      </w:pPr>
      <w:r>
        <w:rPr>
          <w:sz w:val="22"/>
        </w:rPr>
        <w:t xml:space="preserve">non possono fare parte, anche con compiti di segreteria, di commissioni per l’accesso o la selezione a pubblici impieghi; </w:t>
      </w:r>
    </w:p>
    <w:p w:rsidR="005B0C54" w:rsidRDefault="004E43C7">
      <w:pPr>
        <w:numPr>
          <w:ilvl w:val="1"/>
          <w:numId w:val="3"/>
        </w:numPr>
        <w:spacing w:after="127" w:line="287" w:lineRule="auto"/>
        <w:ind w:right="-11"/>
      </w:pPr>
      <w:r>
        <w:rPr>
          <w:sz w:val="22"/>
        </w:rPr>
        <w:t>non possono essere assegnati, anche con funzioni direttive, agli uffici prepost</w:t>
      </w:r>
      <w:r>
        <w:rPr>
          <w:sz w:val="22"/>
        </w:rPr>
        <w:t xml:space="preserve">i alla gestione delle risorse finanziarie, all’acquisizione di beni, servizi e forniture, nonché alla concessione o all’erogazione di sovvenzioni, contributi, sussidi, ausili finanziari o attribuzioni di vantaggi economici a soggetti pubblici e privati; </w:t>
      </w:r>
    </w:p>
    <w:p w:rsidR="005B0C54" w:rsidRDefault="004E43C7">
      <w:pPr>
        <w:numPr>
          <w:ilvl w:val="1"/>
          <w:numId w:val="3"/>
        </w:numPr>
        <w:spacing w:after="127" w:line="287" w:lineRule="auto"/>
        <w:ind w:right="-11"/>
      </w:pPr>
      <w:r>
        <w:rPr>
          <w:sz w:val="22"/>
        </w:rPr>
        <w:lastRenderedPageBreak/>
        <w:t>n</w:t>
      </w:r>
      <w:r>
        <w:rPr>
          <w:sz w:val="22"/>
        </w:rPr>
        <w:t>on possono fare parte delle commissioni per la scelta del contraente per l’affidamento di lavori, forniture e servizi, per la concessione o l’erogazione di sovvenzioni, contributi, sussidi, ausili finanziari, nonché per l’attribuzione di vantaggi economici</w:t>
      </w:r>
      <w:r>
        <w:rPr>
          <w:sz w:val="22"/>
        </w:rPr>
        <w:t xml:space="preserve"> di qualunque genere. </w:t>
      </w:r>
    </w:p>
    <w:p w:rsidR="005B0C54" w:rsidRDefault="004E43C7">
      <w:pPr>
        <w:numPr>
          <w:ilvl w:val="1"/>
          <w:numId w:val="1"/>
        </w:numPr>
        <w:spacing w:after="127" w:line="287" w:lineRule="auto"/>
        <w:ind w:hanging="216"/>
      </w:pPr>
      <w:r>
        <w:rPr>
          <w:sz w:val="22"/>
        </w:rPr>
        <w:t xml:space="preserve">La disposizione prevista al comma 1 integra le leggi e regolamenti che disciplinano la formazione di commissioni e la nomina dei relativi segretari”. </w:t>
      </w:r>
    </w:p>
    <w:p w:rsidR="005B0C54" w:rsidRDefault="004E43C7">
      <w:pPr>
        <w:spacing w:after="201" w:line="259" w:lineRule="auto"/>
        <w:ind w:left="0" w:firstLine="0"/>
        <w:jc w:val="left"/>
      </w:pPr>
      <w:r>
        <w:rPr>
          <w:i w:val="0"/>
          <w:sz w:val="22"/>
        </w:rPr>
        <w:t xml:space="preserve"> </w:t>
      </w:r>
    </w:p>
    <w:p w:rsidR="005B0C54" w:rsidRDefault="004E43C7">
      <w:pPr>
        <w:spacing w:after="156" w:line="259" w:lineRule="auto"/>
        <w:ind w:left="-5"/>
        <w:jc w:val="left"/>
      </w:pPr>
      <w:r>
        <w:rPr>
          <w:i w:val="0"/>
          <w:sz w:val="22"/>
        </w:rPr>
        <w:t xml:space="preserve">Luogo e data _____________________________ </w:t>
      </w:r>
    </w:p>
    <w:p w:rsidR="005B0C54" w:rsidRDefault="004E43C7">
      <w:pPr>
        <w:spacing w:after="195" w:line="259" w:lineRule="auto"/>
        <w:ind w:left="0" w:firstLine="0"/>
        <w:jc w:val="left"/>
      </w:pPr>
      <w:r>
        <w:rPr>
          <w:i w:val="0"/>
          <w:sz w:val="22"/>
        </w:rPr>
        <w:t xml:space="preserve"> </w:t>
      </w:r>
    </w:p>
    <w:p w:rsidR="005B0C54" w:rsidRDefault="004E43C7">
      <w:pPr>
        <w:spacing w:after="201" w:line="259" w:lineRule="auto"/>
        <w:ind w:left="10" w:right="1440"/>
        <w:jc w:val="right"/>
      </w:pPr>
      <w:r>
        <w:rPr>
          <w:i w:val="0"/>
          <w:sz w:val="22"/>
        </w:rPr>
        <w:t xml:space="preserve">Firma </w:t>
      </w:r>
    </w:p>
    <w:p w:rsidR="005B0C54" w:rsidRDefault="004E43C7">
      <w:pPr>
        <w:spacing w:after="201" w:line="259" w:lineRule="auto"/>
        <w:ind w:left="10" w:right="146"/>
        <w:jc w:val="right"/>
      </w:pPr>
      <w:r>
        <w:rPr>
          <w:i w:val="0"/>
          <w:sz w:val="22"/>
        </w:rPr>
        <w:t xml:space="preserve">____________________________ </w:t>
      </w:r>
    </w:p>
    <w:p w:rsidR="005B0C54" w:rsidRDefault="004E43C7">
      <w:pPr>
        <w:spacing w:after="202" w:line="259" w:lineRule="auto"/>
        <w:ind w:left="53" w:firstLine="0"/>
        <w:jc w:val="center"/>
      </w:pPr>
      <w:r>
        <w:rPr>
          <w:i w:val="0"/>
          <w:sz w:val="22"/>
        </w:rPr>
        <w:t xml:space="preserve"> </w:t>
      </w:r>
    </w:p>
    <w:p w:rsidR="005B0C54" w:rsidRDefault="004E43C7">
      <w:pPr>
        <w:spacing w:after="156" w:line="259" w:lineRule="auto"/>
        <w:ind w:left="-5"/>
        <w:jc w:val="left"/>
      </w:pPr>
      <w:r>
        <w:rPr>
          <w:i w:val="0"/>
          <w:sz w:val="22"/>
        </w:rPr>
        <w:t xml:space="preserve">N.B.: Si allega copia di un documento di identità in corso di validità nel caso di sottoscrizione autografa </w:t>
      </w:r>
    </w:p>
    <w:p w:rsidR="005B0C54" w:rsidRDefault="004E43C7">
      <w:pPr>
        <w:spacing w:after="0" w:line="259" w:lineRule="auto"/>
        <w:ind w:left="0" w:firstLine="0"/>
        <w:jc w:val="left"/>
      </w:pPr>
      <w:r>
        <w:rPr>
          <w:i w:val="0"/>
          <w:sz w:val="22"/>
        </w:rPr>
        <w:t xml:space="preserve"> </w:t>
      </w:r>
    </w:p>
    <w:sectPr w:rsidR="005B0C54">
      <w:pgSz w:w="11906" w:h="16838"/>
      <w:pgMar w:top="1418" w:right="1131" w:bottom="1347"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83880"/>
    <w:multiLevelType w:val="hybridMultilevel"/>
    <w:tmpl w:val="8DE409F4"/>
    <w:lvl w:ilvl="0" w:tplc="33387BCE">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E45890">
      <w:start w:val="1"/>
      <w:numFmt w:val="decimal"/>
      <w:lvlText w:val="%2)"/>
      <w:lvlJc w:val="left"/>
      <w:pPr>
        <w:ind w:left="921"/>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DDFA8294">
      <w:start w:val="1"/>
      <w:numFmt w:val="decimal"/>
      <w:lvlText w:val="%3)"/>
      <w:lvlJc w:val="left"/>
      <w:pPr>
        <w:ind w:left="14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D856EF8E">
      <w:start w:val="1"/>
      <w:numFmt w:val="decimal"/>
      <w:lvlText w:val="%4"/>
      <w:lvlJc w:val="left"/>
      <w:pPr>
        <w:ind w:left="21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BBAA02E2">
      <w:start w:val="1"/>
      <w:numFmt w:val="lowerLetter"/>
      <w:lvlText w:val="%5"/>
      <w:lvlJc w:val="left"/>
      <w:pPr>
        <w:ind w:left="28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E5EAF78E">
      <w:start w:val="1"/>
      <w:numFmt w:val="lowerRoman"/>
      <w:lvlText w:val="%6"/>
      <w:lvlJc w:val="left"/>
      <w:pPr>
        <w:ind w:left="36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A9D855B6">
      <w:start w:val="1"/>
      <w:numFmt w:val="decimal"/>
      <w:lvlText w:val="%7"/>
      <w:lvlJc w:val="left"/>
      <w:pPr>
        <w:ind w:left="43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94C6F0C6">
      <w:start w:val="1"/>
      <w:numFmt w:val="lowerLetter"/>
      <w:lvlText w:val="%8"/>
      <w:lvlJc w:val="left"/>
      <w:pPr>
        <w:ind w:left="50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5F083B4A">
      <w:start w:val="1"/>
      <w:numFmt w:val="lowerRoman"/>
      <w:lvlText w:val="%9"/>
      <w:lvlJc w:val="left"/>
      <w:pPr>
        <w:ind w:left="57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E967598"/>
    <w:multiLevelType w:val="hybridMultilevel"/>
    <w:tmpl w:val="2056FCB6"/>
    <w:lvl w:ilvl="0" w:tplc="68B07F6A">
      <w:start w:val="1"/>
      <w:numFmt w:val="decimal"/>
      <w:lvlText w:val="%1"/>
      <w:lvlJc w:val="left"/>
      <w:pPr>
        <w:ind w:left="3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93967240">
      <w:start w:val="2"/>
      <w:numFmt w:val="decimal"/>
      <w:lvlText w:val="%2)"/>
      <w:lvlJc w:val="left"/>
      <w:pPr>
        <w:ind w:left="921"/>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720EE6A4">
      <w:start w:val="1"/>
      <w:numFmt w:val="lowerRoman"/>
      <w:lvlText w:val="%3"/>
      <w:lvlJc w:val="left"/>
      <w:pPr>
        <w:ind w:left="17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E490F304">
      <w:start w:val="1"/>
      <w:numFmt w:val="decimal"/>
      <w:lvlText w:val="%4"/>
      <w:lvlJc w:val="left"/>
      <w:pPr>
        <w:ind w:left="25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605404DC">
      <w:start w:val="1"/>
      <w:numFmt w:val="lowerLetter"/>
      <w:lvlText w:val="%5"/>
      <w:lvlJc w:val="left"/>
      <w:pPr>
        <w:ind w:left="32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CC8A7652">
      <w:start w:val="1"/>
      <w:numFmt w:val="lowerRoman"/>
      <w:lvlText w:val="%6"/>
      <w:lvlJc w:val="left"/>
      <w:pPr>
        <w:ind w:left="394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94BC63C0">
      <w:start w:val="1"/>
      <w:numFmt w:val="decimal"/>
      <w:lvlText w:val="%7"/>
      <w:lvlJc w:val="left"/>
      <w:pPr>
        <w:ind w:left="466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2C0C34EC">
      <w:start w:val="1"/>
      <w:numFmt w:val="lowerLetter"/>
      <w:lvlText w:val="%8"/>
      <w:lvlJc w:val="left"/>
      <w:pPr>
        <w:ind w:left="53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CE367A84">
      <w:start w:val="1"/>
      <w:numFmt w:val="lowerRoman"/>
      <w:lvlText w:val="%9"/>
      <w:lvlJc w:val="left"/>
      <w:pPr>
        <w:ind w:left="61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40F1E03"/>
    <w:multiLevelType w:val="hybridMultilevel"/>
    <w:tmpl w:val="0E88FDA2"/>
    <w:lvl w:ilvl="0" w:tplc="C2F2776C">
      <w:start w:val="1"/>
      <w:numFmt w:val="decimal"/>
      <w:lvlText w:val="%1"/>
      <w:lvlJc w:val="left"/>
      <w:pPr>
        <w:ind w:left="3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DAA4735A">
      <w:start w:val="1"/>
      <w:numFmt w:val="lowerLetter"/>
      <w:lvlText w:val="%2)"/>
      <w:lvlJc w:val="left"/>
      <w:pPr>
        <w:ind w:left="70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C21C50C0">
      <w:start w:val="1"/>
      <w:numFmt w:val="lowerRoman"/>
      <w:lvlText w:val="%3"/>
      <w:lvlJc w:val="left"/>
      <w:pPr>
        <w:ind w:left="178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5D8C3B30">
      <w:start w:val="1"/>
      <w:numFmt w:val="decimal"/>
      <w:lvlText w:val="%4"/>
      <w:lvlJc w:val="left"/>
      <w:pPr>
        <w:ind w:left="250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1C8A4FC6">
      <w:start w:val="1"/>
      <w:numFmt w:val="lowerLetter"/>
      <w:lvlText w:val="%5"/>
      <w:lvlJc w:val="left"/>
      <w:pPr>
        <w:ind w:left="322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BC92B5DE">
      <w:start w:val="1"/>
      <w:numFmt w:val="lowerRoman"/>
      <w:lvlText w:val="%6"/>
      <w:lvlJc w:val="left"/>
      <w:pPr>
        <w:ind w:left="394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AE045A2A">
      <w:start w:val="1"/>
      <w:numFmt w:val="decimal"/>
      <w:lvlText w:val="%7"/>
      <w:lvlJc w:val="left"/>
      <w:pPr>
        <w:ind w:left="466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8410C13E">
      <w:start w:val="1"/>
      <w:numFmt w:val="lowerLetter"/>
      <w:lvlText w:val="%8"/>
      <w:lvlJc w:val="left"/>
      <w:pPr>
        <w:ind w:left="538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0E84284C">
      <w:start w:val="1"/>
      <w:numFmt w:val="lowerRoman"/>
      <w:lvlText w:val="%9"/>
      <w:lvlJc w:val="left"/>
      <w:pPr>
        <w:ind w:left="610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C772FBB"/>
    <w:multiLevelType w:val="hybridMultilevel"/>
    <w:tmpl w:val="AF969D2C"/>
    <w:lvl w:ilvl="0" w:tplc="2F344D04">
      <w:start w:val="1"/>
      <w:numFmt w:val="decimal"/>
      <w:lvlText w:val="%1"/>
      <w:lvlJc w:val="left"/>
      <w:pPr>
        <w:ind w:left="3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E1C8427C">
      <w:start w:val="1"/>
      <w:numFmt w:val="lowerLetter"/>
      <w:lvlText w:val="%2)"/>
      <w:lvlJc w:val="left"/>
      <w:pPr>
        <w:ind w:left="71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F8C64AC6">
      <w:start w:val="1"/>
      <w:numFmt w:val="lowerRoman"/>
      <w:lvlText w:val="%3"/>
      <w:lvlJc w:val="left"/>
      <w:pPr>
        <w:ind w:left="17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E4343CCA">
      <w:start w:val="1"/>
      <w:numFmt w:val="decimal"/>
      <w:lvlText w:val="%4"/>
      <w:lvlJc w:val="left"/>
      <w:pPr>
        <w:ind w:left="25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9E1ADED6">
      <w:start w:val="1"/>
      <w:numFmt w:val="lowerLetter"/>
      <w:lvlText w:val="%5"/>
      <w:lvlJc w:val="left"/>
      <w:pPr>
        <w:ind w:left="32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59905576">
      <w:start w:val="1"/>
      <w:numFmt w:val="lowerRoman"/>
      <w:lvlText w:val="%6"/>
      <w:lvlJc w:val="left"/>
      <w:pPr>
        <w:ind w:left="394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1C30B8F2">
      <w:start w:val="1"/>
      <w:numFmt w:val="decimal"/>
      <w:lvlText w:val="%7"/>
      <w:lvlJc w:val="left"/>
      <w:pPr>
        <w:ind w:left="466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C9D8DAE6">
      <w:start w:val="1"/>
      <w:numFmt w:val="lowerLetter"/>
      <w:lvlText w:val="%8"/>
      <w:lvlJc w:val="left"/>
      <w:pPr>
        <w:ind w:left="53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4F0C08A2">
      <w:start w:val="1"/>
      <w:numFmt w:val="lowerRoman"/>
      <w:lvlText w:val="%9"/>
      <w:lvlJc w:val="left"/>
      <w:pPr>
        <w:ind w:left="61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C54"/>
    <w:rsid w:val="004E43C7"/>
    <w:rsid w:val="005B0C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49E89"/>
  <w15:docId w15:val="{516D3BB0-86D7-442D-969A-633BC1636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28" w:line="269" w:lineRule="auto"/>
      <w:ind w:left="718" w:hanging="10"/>
      <w:jc w:val="both"/>
    </w:pPr>
    <w:rPr>
      <w:rFonts w:ascii="Times New Roman" w:eastAsia="Times New Roman" w:hAnsi="Times New Roman" w:cs="Times New Roman"/>
      <w:i/>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13_0062.htm" TargetMode="External"/><Relationship Id="rId3" Type="http://schemas.openxmlformats.org/officeDocument/2006/relationships/settings" Target="settings.xml"/><Relationship Id="rId7" Type="http://schemas.openxmlformats.org/officeDocument/2006/relationships/hyperlink" Target="https://www.bosettiegatti.eu/info/norme/statali/2013_0062.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osettiegatti.eu/info/norme/statali/2013_0062.htm" TargetMode="External"/><Relationship Id="rId5" Type="http://schemas.openxmlformats.org/officeDocument/2006/relationships/hyperlink" Target="https://www.bosettiegatti.eu/info/norme/statali/2013_0062.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1278</Words>
  <Characters>7287</Characters>
  <Application>Microsoft Office Word</Application>
  <DocSecurity>0</DocSecurity>
  <Lines>60</Lines>
  <Paragraphs>17</Paragraphs>
  <ScaleCrop>false</ScaleCrop>
  <Company/>
  <LinksUpToDate>false</LinksUpToDate>
  <CharactersWithSpaces>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anna.cian</dc:creator>
  <cp:keywords/>
  <cp:lastModifiedBy>utente</cp:lastModifiedBy>
  <cp:revision>2</cp:revision>
  <dcterms:created xsi:type="dcterms:W3CDTF">2026-01-19T09:24:00Z</dcterms:created>
  <dcterms:modified xsi:type="dcterms:W3CDTF">2026-01-19T09:24:00Z</dcterms:modified>
</cp:coreProperties>
</file>